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325E3">
      <w:pPr>
        <w:pStyle w:val="9"/>
        <w:spacing w:line="520" w:lineRule="exact"/>
      </w:pPr>
    </w:p>
    <w:p w14:paraId="62363433">
      <w:pPr>
        <w:pStyle w:val="9"/>
        <w:spacing w:line="520" w:lineRule="exact"/>
      </w:pPr>
    </w:p>
    <w:p w14:paraId="2307B35F">
      <w:pPr>
        <w:pStyle w:val="9"/>
        <w:spacing w:line="520" w:lineRule="exact"/>
        <w:rPr>
          <w:rFonts w:hint="eastAsia"/>
        </w:rPr>
      </w:pPr>
      <w:r>
        <w:rPr>
          <w:rFonts w:hint="eastAsia"/>
        </w:rPr>
        <w:t>《汕头市潮阳区全域土地综合整治实施方案（谷饶、金灶镇单元）》公示稿</w:t>
      </w:r>
    </w:p>
    <w:p w14:paraId="0F21E1D8">
      <w:pPr>
        <w:pStyle w:val="9"/>
        <w:spacing w:line="520" w:lineRule="exact"/>
      </w:pPr>
    </w:p>
    <w:p w14:paraId="4E135AB6">
      <w:pPr>
        <w:pStyle w:val="14"/>
      </w:pPr>
      <w:r>
        <w:rPr>
          <w:rFonts w:hint="eastAsia"/>
        </w:rPr>
        <w:t>一、项目概况</w:t>
      </w:r>
    </w:p>
    <w:p w14:paraId="5BD19715">
      <w:pPr>
        <w:pStyle w:val="13"/>
        <w:spacing w:line="520" w:lineRule="exact"/>
        <w:ind w:firstLine="643"/>
      </w:pPr>
      <w:r>
        <w:rPr>
          <w:rFonts w:hint="eastAsia"/>
          <w:b/>
          <w:bCs/>
        </w:rPr>
        <w:t>项目名称：</w:t>
      </w:r>
      <w:r>
        <w:rPr>
          <w:rFonts w:hint="eastAsia"/>
        </w:rPr>
        <w:t>汕头市潮阳区全域土地综合整治实施方案（谷饶、金灶镇单元）</w:t>
      </w:r>
    </w:p>
    <w:p w14:paraId="2CD4F737">
      <w:pPr>
        <w:pStyle w:val="13"/>
        <w:spacing w:line="520" w:lineRule="exact"/>
        <w:ind w:firstLine="643"/>
      </w:pPr>
      <w:r>
        <w:rPr>
          <w:rFonts w:hint="eastAsia"/>
          <w:b/>
          <w:bCs/>
        </w:rPr>
        <w:t>项目区域：</w:t>
      </w:r>
      <w:r>
        <w:rPr>
          <w:rFonts w:hint="eastAsia"/>
        </w:rPr>
        <w:t>项目区域包括金灶镇和谷饶镇，总面积14940.5827公顷。</w:t>
      </w:r>
    </w:p>
    <w:p w14:paraId="28DB04FC">
      <w:pPr>
        <w:pStyle w:val="13"/>
        <w:spacing w:line="520" w:lineRule="exact"/>
        <w:ind w:firstLine="643"/>
      </w:pPr>
      <w:r>
        <w:rPr>
          <w:rFonts w:hint="eastAsia"/>
          <w:b/>
          <w:bCs/>
        </w:rPr>
        <w:t>实施期限：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年到202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年（具体以实施方案批复时间为准）。</w:t>
      </w:r>
    </w:p>
    <w:p w14:paraId="551324D9">
      <w:pPr>
        <w:pStyle w:val="13"/>
        <w:spacing w:line="520" w:lineRule="exact"/>
        <w:ind w:firstLine="643"/>
      </w:pPr>
      <w:r>
        <w:rPr>
          <w:rFonts w:hint="eastAsia"/>
          <w:b/>
          <w:bCs/>
        </w:rPr>
        <w:t>总投资额</w:t>
      </w:r>
      <w:r>
        <w:rPr>
          <w:rFonts w:hint="eastAsia"/>
        </w:rPr>
        <w:t>：</w:t>
      </w:r>
      <w:r>
        <w:rPr>
          <w:szCs w:val="32"/>
        </w:rPr>
        <w:t>1</w:t>
      </w:r>
      <w:r>
        <w:rPr>
          <w:rFonts w:hint="eastAsia"/>
          <w:szCs w:val="32"/>
          <w:lang w:val="en-US" w:eastAsia="zh-CN"/>
        </w:rPr>
        <w:t>8.5</w:t>
      </w:r>
      <w:r>
        <w:rPr>
          <w:szCs w:val="32"/>
        </w:rPr>
        <w:t>亿元</w:t>
      </w:r>
      <w:r>
        <w:rPr>
          <w:rFonts w:hint="eastAsia"/>
          <w:szCs w:val="32"/>
        </w:rPr>
        <w:t>。</w:t>
      </w:r>
    </w:p>
    <w:p w14:paraId="1C98DA74">
      <w:pPr>
        <w:pStyle w:val="14"/>
      </w:pPr>
      <w:r>
        <w:rPr>
          <w:rFonts w:hint="eastAsia"/>
        </w:rPr>
        <w:t>二、整治目标</w:t>
      </w:r>
    </w:p>
    <w:p w14:paraId="1F3E493B">
      <w:pPr>
        <w:pStyle w:val="13"/>
        <w:ind w:firstLine="643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/>
        </w:rPr>
        <w:t>以打造“良田连片、村庄集中、产业集聚、生态优美”的土地保护利用新格局为整治目标，统筹目标导向和问题导向，充分衔接</w:t>
      </w:r>
      <w:r>
        <w:rPr>
          <w:rFonts w:hint="eastAsia"/>
          <w:lang w:val="en-US" w:eastAsia="zh-CN"/>
        </w:rPr>
        <w:t>镇级</w:t>
      </w:r>
      <w:r>
        <w:rPr>
          <w:rFonts w:hint="eastAsia"/>
        </w:rPr>
        <w:t>国土空间规划和村庄规划，结合实施“百千万工程”，按照“全区域整治、全要素保障”的要求，优化农村生态、农业生产、建设空间、产业空间布局，连片建设高标准农田，集中盘活存量低效建设用地，对新农村和产业融合发展用地进行集约精准保障，助推乡村振兴战略实施。通过科学腾挪空间、推动布局优化，实现耕地数量增加、质量提升、集中连片，建设用地高效提质，生态用地功能改善，产业兴旺助力乡村振兴。</w:t>
      </w:r>
      <w:r>
        <w:rPr>
          <w:rFonts w:hint="eastAsia" w:ascii="仿宋_GB2312" w:hAnsi="仿宋_GB2312" w:eastAsia="仿宋_GB2312" w:cs="仿宋_GB2312"/>
          <w:sz w:val="31"/>
          <w:szCs w:val="31"/>
        </w:rPr>
        <w:t>本次规划以“增耕地、腾空间、优生态、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提风貌、</w:t>
      </w:r>
      <w:r>
        <w:rPr>
          <w:rFonts w:hint="eastAsia" w:ascii="仿宋_GB2312" w:hAnsi="仿宋_GB2312" w:eastAsia="仿宋_GB2312" w:cs="仿宋_GB2312"/>
          <w:sz w:val="31"/>
          <w:szCs w:val="31"/>
        </w:rPr>
        <w:t>强活力”作为整治具体目标。</w:t>
      </w:r>
    </w:p>
    <w:p w14:paraId="1428F137">
      <w:pPr>
        <w:pStyle w:val="13"/>
        <w:ind w:firstLine="643"/>
        <w:rPr>
          <w:rFonts w:hint="eastAsia"/>
        </w:rPr>
      </w:pPr>
    </w:p>
    <w:p w14:paraId="7049F6E3">
      <w:pPr>
        <w:pStyle w:val="13"/>
        <w:ind w:firstLine="643"/>
      </w:pPr>
      <w:r>
        <w:rPr>
          <w:rFonts w:hint="eastAsia"/>
          <w:b/>
          <w:bCs/>
        </w:rPr>
        <w:t>“增耕地”：</w:t>
      </w:r>
      <w:r>
        <w:rPr>
          <w:rFonts w:hint="eastAsia"/>
        </w:rPr>
        <w:t>在实施期末，新增耕地面积</w:t>
      </w:r>
      <w:r>
        <w:rPr>
          <w:rFonts w:hint="eastAsia"/>
          <w:lang w:val="en-US" w:eastAsia="zh-CN"/>
        </w:rPr>
        <w:t>314.6901</w:t>
      </w:r>
      <w:r>
        <w:rPr>
          <w:rFonts w:hint="eastAsia"/>
        </w:rPr>
        <w:t>公顷。</w:t>
      </w:r>
    </w:p>
    <w:p w14:paraId="19216B42">
      <w:pPr>
        <w:pStyle w:val="13"/>
        <w:ind w:firstLine="643"/>
      </w:pPr>
      <w:r>
        <w:rPr>
          <w:rFonts w:hint="eastAsia"/>
          <w:b/>
          <w:bCs/>
        </w:rPr>
        <w:t>“腾空间”：</w:t>
      </w:r>
      <w:r>
        <w:rPr>
          <w:rFonts w:hint="eastAsia"/>
        </w:rPr>
        <w:t>在实施期末，完成低效工业用地改造</w:t>
      </w:r>
      <w:r>
        <w:rPr>
          <w:rFonts w:hint="eastAsia"/>
          <w:lang w:val="en-US" w:eastAsia="zh-CN"/>
        </w:rPr>
        <w:t>8.3882</w:t>
      </w:r>
      <w:r>
        <w:rPr>
          <w:rFonts w:hint="eastAsia"/>
        </w:rPr>
        <w:t>公顷，推进存量低效用地盘活利用，促进工业用地节约集约高效利用。</w:t>
      </w:r>
    </w:p>
    <w:p w14:paraId="449A7D6C">
      <w:pPr>
        <w:pStyle w:val="13"/>
        <w:ind w:firstLine="643"/>
      </w:pPr>
      <w:r>
        <w:rPr>
          <w:rFonts w:hint="eastAsia"/>
          <w:b/>
          <w:bCs/>
        </w:rPr>
        <w:t>“优生态”：</w:t>
      </w:r>
      <w:r>
        <w:rPr>
          <w:rFonts w:hint="eastAsia"/>
        </w:rPr>
        <w:t>在实施期末，计划通过实施河道水系综合整理、地质灾害综合治理、矿山生态修复、万里碧道建设等，实现项目区内环境综合提升，多举措修复和保护生态。</w:t>
      </w:r>
    </w:p>
    <w:p w14:paraId="6D5EC341">
      <w:pPr>
        <w:pStyle w:val="13"/>
        <w:ind w:firstLine="643"/>
      </w:pPr>
      <w:r>
        <w:rPr>
          <w:rFonts w:hint="eastAsia"/>
          <w:b/>
          <w:bCs/>
        </w:rPr>
        <w:t>“提风貌”：</w:t>
      </w:r>
      <w:r>
        <w:rPr>
          <w:rFonts w:hint="eastAsia"/>
        </w:rPr>
        <w:t>在实施期末，计划通过美丽圩镇建设项目、农文旅融合项目、人居环境提升项目、历史文化保护项目等实施，实现城乡风貌焕然一新、文化资源价值赋能、生活品质全面提升。</w:t>
      </w:r>
    </w:p>
    <w:p w14:paraId="3BA92106">
      <w:pPr>
        <w:pStyle w:val="13"/>
        <w:ind w:firstLine="643"/>
        <w:rPr>
          <w:rFonts w:hint="eastAsia"/>
        </w:rPr>
      </w:pPr>
      <w:r>
        <w:rPr>
          <w:rFonts w:hint="eastAsia"/>
          <w:b/>
          <w:bCs/>
        </w:rPr>
        <w:t>“强活力”：</w:t>
      </w:r>
      <w:r>
        <w:rPr>
          <w:rFonts w:hint="eastAsia"/>
        </w:rPr>
        <w:t>在实施期末，计划通过农业平台优化、文旅产业融合、基础设施完善等，实现镇域经济产业、乡村振兴发展新蝶变。</w:t>
      </w:r>
    </w:p>
    <w:p w14:paraId="07F80107">
      <w:pPr>
        <w:pStyle w:val="14"/>
      </w:pPr>
      <w:r>
        <w:rPr>
          <w:rFonts w:hint="eastAsia"/>
        </w:rPr>
        <w:t>三、建设内容</w:t>
      </w:r>
      <w:bookmarkStart w:id="0" w:name="_GoBack"/>
      <w:bookmarkEnd w:id="0"/>
    </w:p>
    <w:p w14:paraId="6A0E18B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至202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/>
          <w:sz w:val="32"/>
          <w:szCs w:val="32"/>
        </w:rPr>
        <w:t>年底，拟实施全域土地综合整治项目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"/>
          <w:sz w:val="32"/>
          <w:szCs w:val="32"/>
        </w:rPr>
        <w:t>个，其中农用地整理项目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个，建设用地整理项目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个，乡村生态保护修复项目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个，乡村风貌提升项目2个，产业导入、公共服务与基础设施建设项目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"/>
          <w:sz w:val="32"/>
          <w:szCs w:val="32"/>
        </w:rPr>
        <w:t>个。</w:t>
      </w:r>
    </w:p>
    <w:p w14:paraId="670E533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（一）农用地整理面积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348.5815</w:t>
      </w:r>
      <w:r>
        <w:rPr>
          <w:rFonts w:ascii="Times New Roman" w:hAnsi="Times New Roman" w:eastAsia="仿宋"/>
          <w:sz w:val="32"/>
          <w:szCs w:val="32"/>
        </w:rPr>
        <w:t>公顷，其中统筹安排补充耕地项目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sz w:val="32"/>
          <w:szCs w:val="32"/>
        </w:rPr>
        <w:t>个（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348.5815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2B9BB61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（二）建设用地整理面积9.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5651</w:t>
      </w:r>
      <w:r>
        <w:rPr>
          <w:rFonts w:ascii="Times New Roman" w:hAnsi="Times New Roman" w:eastAsia="仿宋"/>
          <w:sz w:val="32"/>
          <w:szCs w:val="32"/>
        </w:rPr>
        <w:t>公顷，其中开展城镇低效建设用地整理项目2个（8.3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882</w:t>
      </w:r>
      <w:r>
        <w:rPr>
          <w:rFonts w:ascii="Times New Roman" w:hAnsi="Times New Roman" w:eastAsia="仿宋"/>
          <w:sz w:val="32"/>
          <w:szCs w:val="32"/>
        </w:rPr>
        <w:t>公顷）、拆旧复垦项目2个（1.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1769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0FA6021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（三）生态修复面积37.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0377</w:t>
      </w:r>
      <w:r>
        <w:rPr>
          <w:rFonts w:ascii="Times New Roman" w:hAnsi="Times New Roman" w:eastAsia="仿宋"/>
          <w:sz w:val="32"/>
          <w:szCs w:val="32"/>
        </w:rPr>
        <w:t>公顷，其中矿山生态修复项目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个（4.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4276</w:t>
      </w:r>
      <w:r>
        <w:rPr>
          <w:rFonts w:ascii="Times New Roman" w:hAnsi="Times New Roman" w:eastAsia="仿宋"/>
          <w:sz w:val="32"/>
          <w:szCs w:val="32"/>
        </w:rPr>
        <w:t>公顷）、水环境治理项目2个（31.5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232</w:t>
      </w:r>
      <w:r>
        <w:rPr>
          <w:rFonts w:ascii="Times New Roman" w:hAnsi="Times New Roman" w:eastAsia="仿宋"/>
          <w:sz w:val="32"/>
          <w:szCs w:val="32"/>
        </w:rPr>
        <w:t>公顷）、地质灾害隐患修复项目1个（1.086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6EAA6BB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（四）风貌提升和历史文化保护面积2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5.0492</w:t>
      </w:r>
      <w:r>
        <w:rPr>
          <w:rFonts w:ascii="Times New Roman" w:hAnsi="Times New Roman" w:eastAsia="仿宋"/>
          <w:sz w:val="32"/>
          <w:szCs w:val="32"/>
        </w:rPr>
        <w:t>公顷，其中乡村风貌提升项目2个（2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5.0492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1AF2488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（五）基础设施建设面积0.831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/>
          <w:sz w:val="32"/>
          <w:szCs w:val="32"/>
        </w:rPr>
        <w:t>公顷，其中农村公路建设项目1个（0.2486公顷）、市政公用配套基础设施建设项目1个（0.582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763EECC6"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（六）预计引入农业加工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制造</w:t>
      </w:r>
      <w:r>
        <w:rPr>
          <w:rFonts w:ascii="Times New Roman" w:hAnsi="Times New Roman" w:eastAsia="仿宋"/>
          <w:sz w:val="32"/>
          <w:szCs w:val="32"/>
        </w:rPr>
        <w:t>产业项目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</w:rPr>
        <w:t>个（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34.7777</w:t>
      </w:r>
      <w:r>
        <w:rPr>
          <w:rFonts w:ascii="Times New Roman" w:hAnsi="Times New Roman" w:eastAsia="仿宋"/>
          <w:sz w:val="32"/>
          <w:szCs w:val="32"/>
        </w:rPr>
        <w:t>公顷）、加工制造业项目3个（52.7466公顷）、文旅产业项目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"/>
          <w:sz w:val="32"/>
          <w:szCs w:val="32"/>
        </w:rPr>
        <w:t>个（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117.5343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31C8B9B4">
      <w:r>
        <w:br w:type="page"/>
      </w:r>
    </w:p>
    <w:p w14:paraId="2A7B8229">
      <w:pPr>
        <w:pStyle w:val="13"/>
        <w:ind w:left="0" w:leftChars="0" w:firstLine="0" w:firstLineChars="0"/>
      </w:pPr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-1035050</wp:posOffset>
            </wp:positionV>
            <wp:extent cx="7661275" cy="10827385"/>
            <wp:effectExtent l="0" t="0" r="4445" b="8255"/>
            <wp:wrapNone/>
            <wp:docPr id="42" name="图片 42" descr="D:/05规划工作/21全域土地综合整治/06方案修改稿/07专家评审会后修改稿/谷饶金灶图集/05.汕头市潮阳区全域土地综合整治子项目分布图.jpg05.汕头市潮阳区全域土地综合整治子项目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/05规划工作/21全域土地综合整治/06方案修改稿/07专家评审会后修改稿/谷饶金灶图集/05.汕头市潮阳区全域土地综合整治子项目分布图.jpg05.汕头市潮阳区全域土地综合整治子项目分布图"/>
                    <pic:cNvPicPr>
                      <a:picLocks noChangeAspect="1"/>
                    </pic:cNvPicPr>
                  </pic:nvPicPr>
                  <pic:blipFill>
                    <a:blip r:embed="rId4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7661275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588" w:right="1361" w:bottom="1247" w:left="1361" w:header="720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4MDU3NTliYTg3ZGY2MzU3M2RhMDYyY2MyOWFhZGMifQ=="/>
  </w:docVars>
  <w:rsids>
    <w:rsidRoot w:val="00D550C3"/>
    <w:rsid w:val="000406F5"/>
    <w:rsid w:val="0004493E"/>
    <w:rsid w:val="00065D42"/>
    <w:rsid w:val="0007056F"/>
    <w:rsid w:val="001060E6"/>
    <w:rsid w:val="0014450B"/>
    <w:rsid w:val="00150481"/>
    <w:rsid w:val="001A5FF6"/>
    <w:rsid w:val="001A6538"/>
    <w:rsid w:val="001D79E0"/>
    <w:rsid w:val="00291E10"/>
    <w:rsid w:val="002B21E5"/>
    <w:rsid w:val="00321987"/>
    <w:rsid w:val="00342496"/>
    <w:rsid w:val="00365C52"/>
    <w:rsid w:val="00412AF6"/>
    <w:rsid w:val="004241E9"/>
    <w:rsid w:val="004316B1"/>
    <w:rsid w:val="004452E5"/>
    <w:rsid w:val="00455FFE"/>
    <w:rsid w:val="00474D0C"/>
    <w:rsid w:val="00491BBC"/>
    <w:rsid w:val="004C1C29"/>
    <w:rsid w:val="0051473E"/>
    <w:rsid w:val="00533D64"/>
    <w:rsid w:val="0056283A"/>
    <w:rsid w:val="0059629D"/>
    <w:rsid w:val="005A4203"/>
    <w:rsid w:val="005E1FCB"/>
    <w:rsid w:val="00613AEE"/>
    <w:rsid w:val="0061646D"/>
    <w:rsid w:val="00636F7D"/>
    <w:rsid w:val="00653D0F"/>
    <w:rsid w:val="006566B7"/>
    <w:rsid w:val="00664F14"/>
    <w:rsid w:val="00670519"/>
    <w:rsid w:val="006A5EAE"/>
    <w:rsid w:val="006B08F4"/>
    <w:rsid w:val="006F47C5"/>
    <w:rsid w:val="007217D0"/>
    <w:rsid w:val="00771AF8"/>
    <w:rsid w:val="007844AB"/>
    <w:rsid w:val="007851B1"/>
    <w:rsid w:val="007C3B9B"/>
    <w:rsid w:val="00802A71"/>
    <w:rsid w:val="008222DE"/>
    <w:rsid w:val="008851B5"/>
    <w:rsid w:val="00891676"/>
    <w:rsid w:val="00896ECC"/>
    <w:rsid w:val="008B5B4D"/>
    <w:rsid w:val="008D40ED"/>
    <w:rsid w:val="008F3CE4"/>
    <w:rsid w:val="00936359"/>
    <w:rsid w:val="00936D23"/>
    <w:rsid w:val="00965D80"/>
    <w:rsid w:val="00A07EC2"/>
    <w:rsid w:val="00A1304E"/>
    <w:rsid w:val="00A13944"/>
    <w:rsid w:val="00AA1706"/>
    <w:rsid w:val="00AD2130"/>
    <w:rsid w:val="00AD4DA0"/>
    <w:rsid w:val="00AF0B5A"/>
    <w:rsid w:val="00AF5B1F"/>
    <w:rsid w:val="00B03D21"/>
    <w:rsid w:val="00B93BF4"/>
    <w:rsid w:val="00BA76A0"/>
    <w:rsid w:val="00BC6020"/>
    <w:rsid w:val="00C02B05"/>
    <w:rsid w:val="00C23CDC"/>
    <w:rsid w:val="00CA1779"/>
    <w:rsid w:val="00CD7903"/>
    <w:rsid w:val="00CE24A4"/>
    <w:rsid w:val="00CF285F"/>
    <w:rsid w:val="00D23FFD"/>
    <w:rsid w:val="00D550C3"/>
    <w:rsid w:val="00E41975"/>
    <w:rsid w:val="00E66FD4"/>
    <w:rsid w:val="00E70063"/>
    <w:rsid w:val="00E763A2"/>
    <w:rsid w:val="00E77D4B"/>
    <w:rsid w:val="00EC41C5"/>
    <w:rsid w:val="00FF3CB6"/>
    <w:rsid w:val="00FF6BA0"/>
    <w:rsid w:val="33FF4318"/>
    <w:rsid w:val="3AF11D57"/>
    <w:rsid w:val="46BF30DB"/>
    <w:rsid w:val="479274C4"/>
    <w:rsid w:val="64B66ACB"/>
    <w:rsid w:val="6AB108E1"/>
    <w:rsid w:val="7D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eastAsiaTheme="minorEastAsia"/>
      <w:sz w:val="24"/>
      <w:szCs w:val="24"/>
    </w:rPr>
  </w:style>
  <w:style w:type="paragraph" w:customStyle="1" w:styleId="9">
    <w:name w:val="发文题目"/>
    <w:basedOn w:val="1"/>
    <w:link w:val="30"/>
    <w:qFormat/>
    <w:uiPriority w:val="0"/>
    <w:pPr>
      <w:adjustRightInd w:val="0"/>
      <w:snapToGrid w:val="0"/>
      <w:spacing w:line="60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0">
    <w:name w:val="联系方式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Times New Roman" w:hAnsi="Times New Roman" w:eastAsia="仿宋"/>
      <w:kern w:val="0"/>
      <w:sz w:val="32"/>
    </w:rPr>
  </w:style>
  <w:style w:type="paragraph" w:customStyle="1" w:styleId="11">
    <w:name w:val="落款"/>
    <w:basedOn w:val="1"/>
    <w:qFormat/>
    <w:uiPriority w:val="0"/>
    <w:pPr>
      <w:adjustRightInd w:val="0"/>
      <w:snapToGrid w:val="0"/>
      <w:spacing w:line="600" w:lineRule="exact"/>
      <w:jc w:val="right"/>
    </w:pPr>
    <w:rPr>
      <w:rFonts w:ascii="Times New Roman" w:hAnsi="Times New Roman" w:eastAsia="仿宋"/>
      <w:kern w:val="0"/>
      <w:sz w:val="32"/>
    </w:rPr>
  </w:style>
  <w:style w:type="paragraph" w:customStyle="1" w:styleId="12">
    <w:name w:val="主送单位"/>
    <w:basedOn w:val="1"/>
    <w:next w:val="13"/>
    <w:qFormat/>
    <w:uiPriority w:val="0"/>
    <w:pPr>
      <w:adjustRightInd w:val="0"/>
      <w:snapToGrid w:val="0"/>
      <w:spacing w:line="600" w:lineRule="exact"/>
    </w:pPr>
    <w:rPr>
      <w:rFonts w:ascii="Times New Roman" w:hAnsi="Times New Roman" w:eastAsia="仿宋"/>
      <w:sz w:val="32"/>
      <w:szCs w:val="24"/>
    </w:rPr>
  </w:style>
  <w:style w:type="paragraph" w:customStyle="1" w:styleId="13">
    <w:name w:val="发文正文"/>
    <w:basedOn w:val="1"/>
    <w:link w:val="26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Times New Roman" w:hAnsi="Times New Roman" w:eastAsia="仿宋"/>
      <w:kern w:val="0"/>
      <w:sz w:val="32"/>
    </w:rPr>
  </w:style>
  <w:style w:type="paragraph" w:customStyle="1" w:styleId="14">
    <w:name w:val="一级标题"/>
    <w:basedOn w:val="1"/>
    <w:link w:val="15"/>
    <w:qFormat/>
    <w:uiPriority w:val="0"/>
    <w:pPr>
      <w:widowControl/>
      <w:ind w:firstLine="482"/>
    </w:pPr>
    <w:rPr>
      <w:rFonts w:eastAsia="黑体"/>
      <w:sz w:val="32"/>
    </w:rPr>
  </w:style>
  <w:style w:type="character" w:customStyle="1" w:styleId="15">
    <w:name w:val="一级标题 字符"/>
    <w:basedOn w:val="16"/>
    <w:link w:val="14"/>
    <w:qFormat/>
    <w:uiPriority w:val="0"/>
    <w:rPr>
      <w:rFonts w:ascii="Calibri" w:hAnsi="Calibri" w:eastAsia="黑体" w:cs="Times New Roman"/>
      <w:b w:val="0"/>
      <w:bCs w:val="0"/>
      <w:kern w:val="44"/>
      <w:sz w:val="32"/>
      <w:szCs w:val="44"/>
    </w:rPr>
  </w:style>
  <w:style w:type="character" w:customStyle="1" w:styleId="16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9">
    <w:name w:val="二级标题"/>
    <w:basedOn w:val="1"/>
    <w:next w:val="13"/>
    <w:link w:val="20"/>
    <w:qFormat/>
    <w:uiPriority w:val="0"/>
    <w:pPr>
      <w:widowControl/>
      <w:adjustRightInd w:val="0"/>
      <w:snapToGrid w:val="0"/>
      <w:spacing w:line="600" w:lineRule="exact"/>
      <w:ind w:firstLine="641"/>
      <w:jc w:val="left"/>
    </w:pPr>
    <w:rPr>
      <w:rFonts w:ascii="楷体" w:hAnsi="楷体" w:eastAsia="楷体" w:cs="楷体"/>
      <w:sz w:val="32"/>
    </w:rPr>
  </w:style>
  <w:style w:type="character" w:customStyle="1" w:styleId="20">
    <w:name w:val="二级标题 字符"/>
    <w:basedOn w:val="21"/>
    <w:link w:val="19"/>
    <w:qFormat/>
    <w:uiPriority w:val="0"/>
    <w:rPr>
      <w:rFonts w:ascii="楷体" w:hAnsi="楷体" w:eastAsia="楷体" w:cs="楷体"/>
      <w:b w:val="0"/>
      <w:bCs w:val="0"/>
      <w:sz w:val="32"/>
      <w:szCs w:val="32"/>
    </w:rPr>
  </w:style>
  <w:style w:type="character" w:customStyle="1" w:styleId="2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抄送单位"/>
    <w:basedOn w:val="1"/>
    <w:next w:val="13"/>
    <w:link w:val="23"/>
    <w:qFormat/>
    <w:uiPriority w:val="0"/>
    <w:pPr>
      <w:pBdr>
        <w:top w:val="single" w:color="auto" w:sz="4" w:space="1"/>
        <w:bottom w:val="single" w:color="auto" w:sz="4" w:space="1"/>
      </w:pBdr>
      <w:spacing w:line="600" w:lineRule="exact"/>
      <w:ind w:firstLine="192" w:firstLineChars="60"/>
      <w:textAlignment w:val="center"/>
    </w:pPr>
    <w:rPr>
      <w:rFonts w:ascii="Times New Roman" w:hAnsi="Times New Roman" w:eastAsia="仿宋"/>
      <w:sz w:val="32"/>
      <w:szCs w:val="32"/>
    </w:rPr>
  </w:style>
  <w:style w:type="character" w:customStyle="1" w:styleId="23">
    <w:name w:val="抄送单位 字符"/>
    <w:basedOn w:val="8"/>
    <w:link w:val="22"/>
    <w:qFormat/>
    <w:uiPriority w:val="0"/>
    <w:rPr>
      <w:rFonts w:ascii="Times New Roman" w:hAnsi="Times New Roman" w:eastAsia="仿宋" w:cs="Times New Roman"/>
      <w:sz w:val="32"/>
      <w:szCs w:val="32"/>
    </w:rPr>
  </w:style>
  <w:style w:type="paragraph" w:customStyle="1" w:styleId="24">
    <w:name w:val="附件左上角标题"/>
    <w:basedOn w:val="1"/>
    <w:next w:val="9"/>
    <w:link w:val="25"/>
    <w:qFormat/>
    <w:uiPriority w:val="0"/>
    <w:pPr>
      <w:jc w:val="left"/>
    </w:pPr>
    <w:rPr>
      <w:rFonts w:ascii="黑体" w:hAnsi="黑体" w:eastAsia="黑体"/>
      <w:sz w:val="32"/>
      <w:szCs w:val="32"/>
    </w:rPr>
  </w:style>
  <w:style w:type="character" w:customStyle="1" w:styleId="25">
    <w:name w:val="附件左上角标题 字符"/>
    <w:basedOn w:val="8"/>
    <w:link w:val="24"/>
    <w:qFormat/>
    <w:uiPriority w:val="0"/>
    <w:rPr>
      <w:rFonts w:ascii="黑体" w:hAnsi="黑体" w:eastAsia="黑体" w:cs="Times New Roman"/>
      <w:sz w:val="32"/>
      <w:szCs w:val="32"/>
    </w:rPr>
  </w:style>
  <w:style w:type="character" w:customStyle="1" w:styleId="26">
    <w:name w:val="发文正文 字符"/>
    <w:basedOn w:val="8"/>
    <w:link w:val="13"/>
    <w:qFormat/>
    <w:uiPriority w:val="0"/>
    <w:rPr>
      <w:rFonts w:ascii="Times New Roman" w:hAnsi="Times New Roman" w:eastAsia="仿宋" w:cs="Times New Roman"/>
      <w:kern w:val="0"/>
      <w:sz w:val="32"/>
    </w:rPr>
  </w:style>
  <w:style w:type="paragraph" w:customStyle="1" w:styleId="27">
    <w:name w:val="附件悬挂"/>
    <w:basedOn w:val="13"/>
    <w:link w:val="28"/>
    <w:qFormat/>
    <w:uiPriority w:val="0"/>
    <w:pPr>
      <w:ind w:left="600" w:leftChars="300" w:hanging="300" w:hangingChars="300"/>
    </w:pPr>
    <w:rPr>
      <w:szCs w:val="21"/>
    </w:rPr>
  </w:style>
  <w:style w:type="character" w:customStyle="1" w:styleId="28">
    <w:name w:val="附件悬挂 字符"/>
    <w:basedOn w:val="26"/>
    <w:link w:val="27"/>
    <w:qFormat/>
    <w:uiPriority w:val="0"/>
    <w:rPr>
      <w:rFonts w:ascii="Times New Roman" w:hAnsi="Times New Roman" w:eastAsia="仿宋" w:cs="Times New Roman"/>
      <w:kern w:val="0"/>
      <w:sz w:val="32"/>
      <w:szCs w:val="21"/>
    </w:rPr>
  </w:style>
  <w:style w:type="paragraph" w:customStyle="1" w:styleId="29">
    <w:name w:val="备注副标题"/>
    <w:basedOn w:val="9"/>
    <w:link w:val="31"/>
    <w:qFormat/>
    <w:uiPriority w:val="0"/>
    <w:pPr>
      <w:spacing w:line="560" w:lineRule="exact"/>
    </w:pPr>
    <w:rPr>
      <w:rFonts w:ascii="楷体" w:hAnsi="楷体" w:eastAsia="楷体"/>
      <w:sz w:val="32"/>
      <w:szCs w:val="32"/>
    </w:rPr>
  </w:style>
  <w:style w:type="character" w:customStyle="1" w:styleId="30">
    <w:name w:val="发文题目 字符"/>
    <w:basedOn w:val="8"/>
    <w:link w:val="9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31">
    <w:name w:val="备注副标题 字符"/>
    <w:basedOn w:val="30"/>
    <w:link w:val="29"/>
    <w:qFormat/>
    <w:uiPriority w:val="0"/>
    <w:rPr>
      <w:rFonts w:ascii="楷体" w:hAnsi="楷体" w:eastAsia="楷体" w:cs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1115</Words>
  <Characters>1250</Characters>
  <Lines>10</Lines>
  <Paragraphs>2</Paragraphs>
  <TotalTime>8</TotalTime>
  <ScaleCrop>false</ScaleCrop>
  <LinksUpToDate>false</LinksUpToDate>
  <CharactersWithSpaces>1250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2024-08-21T08:17:00Z</dcterms:created>
  <dc:creator>鬼 爺</dc:creator>
  <cp:lastModifiedBy>JRH</cp:lastModifiedBy>
  <dcterms:modified xsi:type="dcterms:W3CDTF">2025-02-27T04:13:42Z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3DDD0EE04DC3480B8E259E7792387235_13</vt:lpwstr>
  </property>
  <property fmtid="{D5CDD505-2E9C-101B-9397-08002B2CF9AE}" pid="4" name="KSOTemplateDocerSaveRecord">
    <vt:lpwstr>eyJoZGlkIjoiMWU4MDU3NTliYTg3ZGY2MzU3M2RhMDYyY2MyOWFhZGMiLCJ1c2VySWQiOiIyNzY2NTI0NTYifQ==</vt:lpwstr>
  </property>
</Properties>
</file>