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25E3">
      <w:pPr>
        <w:pStyle w:val="9"/>
      </w:pPr>
    </w:p>
    <w:p w14:paraId="62363433">
      <w:pPr>
        <w:pStyle w:val="9"/>
      </w:pPr>
    </w:p>
    <w:p w14:paraId="2307B35F">
      <w:pPr>
        <w:pStyle w:val="9"/>
      </w:pPr>
      <w:r>
        <w:rPr>
          <w:rFonts w:hint="eastAsia"/>
        </w:rPr>
        <w:t>《汕头市潮阳区全域土地综合整治实施方案（海门镇单元）》公示稿</w:t>
      </w:r>
    </w:p>
    <w:p w14:paraId="0F21E1D8">
      <w:pPr>
        <w:pStyle w:val="9"/>
      </w:pPr>
    </w:p>
    <w:p w14:paraId="4E135AB6">
      <w:pPr>
        <w:pStyle w:val="14"/>
        <w:spacing w:line="600" w:lineRule="exact"/>
      </w:pPr>
      <w:r>
        <w:rPr>
          <w:rFonts w:hint="eastAsia"/>
        </w:rPr>
        <w:t>一、项目概况</w:t>
      </w:r>
    </w:p>
    <w:p w14:paraId="5BD19715">
      <w:pPr>
        <w:pStyle w:val="13"/>
        <w:ind w:firstLine="643"/>
      </w:pPr>
      <w:r>
        <w:rPr>
          <w:rFonts w:hint="eastAsia"/>
          <w:b/>
          <w:bCs/>
        </w:rPr>
        <w:t>项目名称：</w:t>
      </w:r>
      <w:r>
        <w:rPr>
          <w:rFonts w:hint="eastAsia"/>
        </w:rPr>
        <w:t>汕头市潮阳区全域土地综合整治实施方案（海门镇单元）</w:t>
      </w:r>
    </w:p>
    <w:p w14:paraId="2CD4F737">
      <w:pPr>
        <w:pStyle w:val="13"/>
        <w:ind w:firstLine="643"/>
      </w:pPr>
      <w:r>
        <w:rPr>
          <w:rFonts w:hint="eastAsia"/>
          <w:b/>
          <w:bCs/>
        </w:rPr>
        <w:t>项目区域：</w:t>
      </w:r>
      <w:r>
        <w:rPr>
          <w:rFonts w:hint="eastAsia"/>
        </w:rPr>
        <w:t>项目区域包括</w:t>
      </w:r>
      <w:r>
        <w:rPr>
          <w:rFonts w:hint="eastAsia" w:ascii="仿宋_GB2312" w:eastAsia="仿宋_GB2312" w:cs="仿宋_GB2312"/>
          <w:kern w:val="2"/>
          <w:lang w:bidi="ar"/>
        </w:rPr>
        <w:t>海门镇全镇</w:t>
      </w:r>
      <w:r>
        <w:rPr>
          <w:rFonts w:hint="eastAsia"/>
        </w:rPr>
        <w:t>，总面积</w:t>
      </w:r>
      <w:r>
        <w:t>31</w:t>
      </w:r>
      <w:r>
        <w:rPr>
          <w:rFonts w:hint="eastAsia"/>
          <w:lang w:val="en-US" w:eastAsia="zh-CN"/>
        </w:rPr>
        <w:t>59.9454</w:t>
      </w:r>
      <w:r>
        <w:rPr>
          <w:rFonts w:hint="eastAsia"/>
        </w:rPr>
        <w:t>公顷。</w:t>
      </w:r>
    </w:p>
    <w:p w14:paraId="28DB04FC">
      <w:pPr>
        <w:pStyle w:val="13"/>
        <w:ind w:firstLine="643"/>
      </w:pPr>
      <w:r>
        <w:rPr>
          <w:rFonts w:hint="eastAsia"/>
          <w:b/>
          <w:bCs/>
        </w:rPr>
        <w:t>实施期限：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年到20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年（具体以实施方案批复时间为准）。</w:t>
      </w:r>
    </w:p>
    <w:p w14:paraId="551324D9">
      <w:pPr>
        <w:pStyle w:val="13"/>
        <w:ind w:firstLine="643"/>
      </w:pPr>
      <w:r>
        <w:rPr>
          <w:rFonts w:hint="eastAsia"/>
          <w:b/>
          <w:bCs/>
        </w:rPr>
        <w:t>总投资额</w:t>
      </w:r>
      <w:r>
        <w:rPr>
          <w:rFonts w:hint="eastAsia"/>
        </w:rPr>
        <w:t>：</w:t>
      </w:r>
      <w:r>
        <w:rPr>
          <w:rFonts w:hint="eastAsia" w:eastAsia="仿宋_GB2312"/>
        </w:rPr>
        <w:t>1</w:t>
      </w:r>
      <w:r>
        <w:rPr>
          <w:rFonts w:hint="eastAsia" w:eastAsia="仿宋_GB2312"/>
          <w:lang w:val="en-US" w:eastAsia="zh-CN"/>
        </w:rPr>
        <w:t>0.49</w:t>
      </w:r>
      <w:r>
        <w:rPr>
          <w:rFonts w:hint="eastAsia" w:eastAsia="仿宋_GB2312"/>
        </w:rPr>
        <w:t>亿元</w:t>
      </w:r>
      <w:r>
        <w:rPr>
          <w:rFonts w:hint="eastAsia"/>
          <w:szCs w:val="32"/>
        </w:rPr>
        <w:t>。</w:t>
      </w:r>
    </w:p>
    <w:p w14:paraId="1C98DA74">
      <w:pPr>
        <w:pStyle w:val="14"/>
        <w:spacing w:line="600" w:lineRule="exact"/>
      </w:pPr>
      <w:r>
        <w:rPr>
          <w:rFonts w:hint="eastAsia"/>
        </w:rPr>
        <w:t>二、整治目标</w:t>
      </w:r>
    </w:p>
    <w:p w14:paraId="2887B50C">
      <w:pPr>
        <w:pStyle w:val="13"/>
        <w:ind w:firstLine="640"/>
      </w:pPr>
      <w:r>
        <w:rPr>
          <w:rFonts w:hint="eastAsia"/>
        </w:rPr>
        <w:t>按照“全域规划、整体设计、综合治理”的思路，针对实施区域内的发展诉求与各类空间之间的矛盾，通过实施全域土地综合整治，统筹推进农用地整理、建设用地整理、乡村生态保护修复和乡村风貌提升，优化生产、生活、生态空间格局，促进耕地保护和土地节约集约利用，推动乡村一二三产业融合发展，提升农村人居环境，改善生态环境，助力“百千万工程”。本方案提出将海门镇打造为汕头市临港产业创新示范区，宜居宜业宜游滨海特色城镇。通过实施一批具有现实示范意义的整治精品工程，实现“落规划”、“增耕地”、“腾空间”、“优生态”、“强活力”的全域土地综合整治目标。</w:t>
      </w:r>
    </w:p>
    <w:p w14:paraId="7049F6E3">
      <w:pPr>
        <w:pStyle w:val="13"/>
        <w:ind w:firstLine="643"/>
      </w:pPr>
      <w:r>
        <w:rPr>
          <w:rFonts w:hint="eastAsia"/>
          <w:b/>
          <w:bCs/>
        </w:rPr>
        <w:t>“增耕地”：</w:t>
      </w:r>
      <w:r>
        <w:rPr>
          <w:rFonts w:hint="eastAsia"/>
        </w:rPr>
        <w:t>在实施期末，新增耕地面积</w:t>
      </w:r>
      <w:bookmarkStart w:id="0" w:name="_GoBack"/>
      <w:bookmarkEnd w:id="0"/>
      <w:r>
        <w:rPr>
          <w:rFonts w:hint="eastAsia" w:eastAsia="仿宋_GB2312"/>
          <w:lang w:val="en-US" w:eastAsia="zh-CN"/>
        </w:rPr>
        <w:t>27.5791</w:t>
      </w:r>
      <w:r>
        <w:rPr>
          <w:rFonts w:hint="eastAsia"/>
        </w:rPr>
        <w:t>公顷。</w:t>
      </w:r>
    </w:p>
    <w:p w14:paraId="19216B42">
      <w:pPr>
        <w:pStyle w:val="13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“腾空间”：</w:t>
      </w:r>
      <w:r>
        <w:rPr>
          <w:rFonts w:hint="eastAsia" w:ascii="仿宋" w:hAnsi="仿宋" w:eastAsia="仿宋" w:cs="仿宋"/>
          <w:szCs w:val="32"/>
          <w:lang w:bidi="ar"/>
        </w:rPr>
        <w:t>在实施期末，完成新型产业聚集区的盘活利用，推进存量/闲置/低效用地盘活利用，促进工业用地节约集约高效利用。</w:t>
      </w:r>
    </w:p>
    <w:p w14:paraId="787E8FAE">
      <w:pPr>
        <w:pStyle w:val="13"/>
        <w:ind w:firstLine="643"/>
        <w:rPr>
          <w:rFonts w:hint="eastAsia" w:ascii="仿宋" w:hAnsi="仿宋" w:eastAsia="仿宋" w:cs="仿宋"/>
          <w:szCs w:val="32"/>
          <w:lang w:bidi="ar"/>
        </w:rPr>
      </w:pPr>
      <w:r>
        <w:rPr>
          <w:rFonts w:hint="eastAsia" w:ascii="仿宋" w:hAnsi="仿宋" w:eastAsia="仿宋" w:cs="仿宋"/>
          <w:b/>
          <w:bCs/>
        </w:rPr>
        <w:t>“优生态”：</w:t>
      </w:r>
      <w:r>
        <w:rPr>
          <w:rFonts w:hint="eastAsia" w:ascii="仿宋" w:hAnsi="仿宋" w:eastAsia="仿宋" w:cs="仿宋"/>
          <w:szCs w:val="32"/>
          <w:lang w:bidi="ar"/>
        </w:rPr>
        <w:t>在实施期末，计划通过实施河道水系综合整理、</w:t>
      </w:r>
      <w:r>
        <w:rPr>
          <w:rFonts w:hint="eastAsia" w:ascii="仿宋" w:hAnsi="仿宋" w:eastAsia="仿宋" w:cs="仿宋"/>
          <w:szCs w:val="32"/>
        </w:rPr>
        <w:t>海岸带修复、景区改造、生态公园建设</w:t>
      </w:r>
      <w:r>
        <w:rPr>
          <w:rFonts w:hint="eastAsia" w:ascii="仿宋" w:hAnsi="仿宋" w:eastAsia="仿宋" w:cs="仿宋"/>
          <w:szCs w:val="32"/>
          <w:lang w:bidi="ar"/>
        </w:rPr>
        <w:t>等，实现项目区内环境综合提升，多举措修复和保护生态。</w:t>
      </w:r>
    </w:p>
    <w:p w14:paraId="6D5EC341">
      <w:pPr>
        <w:pStyle w:val="13"/>
        <w:ind w:firstLine="64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“提风貌”：</w:t>
      </w:r>
      <w:r>
        <w:rPr>
          <w:rFonts w:hint="eastAsia" w:ascii="仿宋" w:hAnsi="仿宋" w:eastAsia="仿宋" w:cs="仿宋"/>
          <w:szCs w:val="32"/>
          <w:lang w:bidi="ar"/>
        </w:rPr>
        <w:t>在实施期末，计划通过美丽圩镇建设项目、农文旅融合项目、人居环境提升项目、历史文化保护项目等实施，实现城乡风貌焕然一新、文化资源价值赋能、生活品质全面提升。</w:t>
      </w:r>
    </w:p>
    <w:p w14:paraId="3BA92106">
      <w:pPr>
        <w:pStyle w:val="13"/>
        <w:ind w:firstLine="643"/>
      </w:pPr>
      <w:r>
        <w:rPr>
          <w:rFonts w:hint="eastAsia"/>
          <w:b/>
          <w:bCs/>
        </w:rPr>
        <w:t>“强活力”：</w:t>
      </w:r>
      <w:r>
        <w:rPr>
          <w:rFonts w:hint="eastAsia"/>
        </w:rPr>
        <w:t>在实施期末，计划通过农业平台优化、文旅产业融合、基础设施完善等，实现镇域经济产业、乡村振兴发展新蝶变。</w:t>
      </w:r>
    </w:p>
    <w:p w14:paraId="07F80107">
      <w:pPr>
        <w:pStyle w:val="14"/>
        <w:spacing w:line="600" w:lineRule="exact"/>
      </w:pPr>
      <w:r>
        <w:rPr>
          <w:rFonts w:hint="eastAsia"/>
        </w:rPr>
        <w:t>三、建设内容</w:t>
      </w:r>
    </w:p>
    <w:p w14:paraId="6A0E18B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至2027年底，拟实施全域土地综合整治项目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/>
          <w:sz w:val="32"/>
          <w:szCs w:val="32"/>
        </w:rPr>
        <w:t>个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其中农用地整理项目1个，建设用地整理项目1个，乡村生态保护修复项目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个，乡村风貌提升项目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个，产业导入、公共服务与基础设施建设项目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个。</w:t>
      </w:r>
    </w:p>
    <w:p w14:paraId="506BF4F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（一）农用地整理面积35.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7679</w:t>
      </w:r>
      <w:r>
        <w:rPr>
          <w:rFonts w:ascii="Times New Roman" w:hAnsi="Times New Roman" w:eastAsia="仿宋"/>
          <w:sz w:val="32"/>
          <w:szCs w:val="32"/>
        </w:rPr>
        <w:t>公顷，其中统筹安排补充耕地项目1个（35.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7679</w:t>
      </w:r>
      <w:r>
        <w:rPr>
          <w:rFonts w:ascii="Times New Roman" w:hAnsi="Times New Roman" w:eastAsia="仿宋"/>
          <w:sz w:val="32"/>
          <w:szCs w:val="32"/>
        </w:rPr>
        <w:t>公顷）。</w:t>
      </w:r>
    </w:p>
    <w:p w14:paraId="58A1B6E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（二）建设用地整理面积23.0629公顷，其中开展城镇存量/闲置建设用地整理项目1个（23.0629公顷）。</w:t>
      </w:r>
    </w:p>
    <w:p w14:paraId="0B253A3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（三）生态修复面积</w:t>
      </w:r>
      <w:r>
        <w:rPr>
          <w:rFonts w:ascii="Times New Roman" w:hAnsi="Times New Roman"/>
          <w:sz w:val="32"/>
          <w:szCs w:val="32"/>
        </w:rPr>
        <w:t>3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6.9886</w:t>
      </w:r>
      <w:r>
        <w:rPr>
          <w:rFonts w:ascii="Times New Roman" w:hAnsi="Times New Roman" w:eastAsia="仿宋"/>
          <w:sz w:val="32"/>
          <w:szCs w:val="32"/>
        </w:rPr>
        <w:t>公顷，其中景区改造修复项目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</w:rPr>
        <w:t>个（23.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1301</w:t>
      </w:r>
      <w:r>
        <w:rPr>
          <w:rFonts w:ascii="Times New Roman" w:hAnsi="Times New Roman" w:eastAsia="仿宋"/>
          <w:sz w:val="32"/>
          <w:szCs w:val="32"/>
        </w:rPr>
        <w:t>公顷）、水环境治理项目1个（13.8585公顷）。</w:t>
      </w:r>
    </w:p>
    <w:p w14:paraId="4EF333A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风貌提升和历史文化保护面积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56.5484</w:t>
      </w:r>
      <w:r>
        <w:rPr>
          <w:rFonts w:ascii="Times New Roman" w:hAnsi="Times New Roman" w:eastAsia="仿宋"/>
          <w:sz w:val="32"/>
          <w:szCs w:val="32"/>
        </w:rPr>
        <w:t>公顷，其中乡村风貌提升项目2个（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56.5484</w:t>
      </w:r>
      <w:r>
        <w:rPr>
          <w:rFonts w:ascii="Times New Roman" w:hAnsi="Times New Roman" w:eastAsia="仿宋"/>
          <w:sz w:val="32"/>
          <w:szCs w:val="32"/>
        </w:rPr>
        <w:t>公顷）。</w:t>
      </w:r>
    </w:p>
    <w:p w14:paraId="631094A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"/>
          <w:sz w:val="32"/>
          <w:szCs w:val="32"/>
        </w:rPr>
        <w:t>）基础设施建设面积2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6.5529</w:t>
      </w:r>
      <w:r>
        <w:rPr>
          <w:rFonts w:ascii="Times New Roman" w:hAnsi="Times New Roman" w:eastAsia="仿宋"/>
          <w:sz w:val="32"/>
          <w:szCs w:val="32"/>
        </w:rPr>
        <w:t>公顷，其中配套基础设施建设项目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</w:rPr>
        <w:t>个（2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6.5529</w:t>
      </w:r>
      <w:r>
        <w:rPr>
          <w:rFonts w:ascii="Times New Roman" w:hAnsi="Times New Roman" w:eastAsia="仿宋"/>
          <w:sz w:val="32"/>
          <w:szCs w:val="32"/>
        </w:rPr>
        <w:t>公顷）。</w:t>
      </w:r>
    </w:p>
    <w:p w14:paraId="0E23E3D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"/>
          <w:sz w:val="32"/>
          <w:szCs w:val="32"/>
        </w:rPr>
        <w:t>）预计引入文旅产业项目1个（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8.1996</w:t>
      </w:r>
      <w:r>
        <w:rPr>
          <w:rFonts w:ascii="Times New Roman" w:hAnsi="Times New Roman" w:eastAsia="仿宋"/>
          <w:sz w:val="32"/>
          <w:szCs w:val="32"/>
        </w:rPr>
        <w:t>公顷）。</w:t>
      </w:r>
    </w:p>
    <w:p w14:paraId="31C8B9B4">
      <w:r>
        <w:br w:type="page"/>
      </w:r>
    </w:p>
    <w:p w14:paraId="742629F5">
      <w:pPr>
        <w:pStyle w:val="13"/>
        <w:ind w:firstLine="640"/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-1009650</wp:posOffset>
            </wp:positionV>
            <wp:extent cx="7640320" cy="10798175"/>
            <wp:effectExtent l="0" t="0" r="10160" b="6985"/>
            <wp:wrapNone/>
            <wp:docPr id="25" name="图片 25" descr="D:/05规划工作/21全域土地综合整治/06方案修改稿/07专家评审会后修改稿/海门图集/附图5 全域土地综合整治子项目分布图.jpg附图5 全域土地综合整治子项目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:/05规划工作/21全域土地综合整治/06方案修改稿/07专家评审会后修改稿/海门图集/附图5 全域土地综合整治子项目分布图.jpg附图5 全域土地综合整治子项目分布图"/>
                    <pic:cNvPicPr>
                      <a:picLocks noChangeAspect="1"/>
                    </pic:cNvPicPr>
                  </pic:nvPicPr>
                  <pic:blipFill>
                    <a:blip r:embed="rId4"/>
                    <a:srcRect t="33" b="33"/>
                    <a:stretch>
                      <a:fillRect/>
                    </a:stretch>
                  </pic:blipFill>
                  <pic:spPr>
                    <a:xfrm>
                      <a:off x="0" y="0"/>
                      <a:ext cx="7640320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588" w:right="1361" w:bottom="1247" w:left="1361" w:header="720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U3NTliYTg3ZGY2MzU3M2RhMDYyY2MyOWFhZGMifQ=="/>
  </w:docVars>
  <w:rsids>
    <w:rsidRoot w:val="00D550C3"/>
    <w:rsid w:val="000406F5"/>
    <w:rsid w:val="0004493E"/>
    <w:rsid w:val="00065D42"/>
    <w:rsid w:val="0007056F"/>
    <w:rsid w:val="001060E6"/>
    <w:rsid w:val="0014450B"/>
    <w:rsid w:val="00150481"/>
    <w:rsid w:val="001A5FF6"/>
    <w:rsid w:val="001A6538"/>
    <w:rsid w:val="001D79E0"/>
    <w:rsid w:val="00291E10"/>
    <w:rsid w:val="002B21E5"/>
    <w:rsid w:val="00321987"/>
    <w:rsid w:val="00342496"/>
    <w:rsid w:val="00365C52"/>
    <w:rsid w:val="00391C9E"/>
    <w:rsid w:val="00412AF6"/>
    <w:rsid w:val="004241E9"/>
    <w:rsid w:val="004316B1"/>
    <w:rsid w:val="004452E5"/>
    <w:rsid w:val="00455FFE"/>
    <w:rsid w:val="00474D0C"/>
    <w:rsid w:val="00491BBC"/>
    <w:rsid w:val="004C1C29"/>
    <w:rsid w:val="0051473E"/>
    <w:rsid w:val="00533D64"/>
    <w:rsid w:val="0056283A"/>
    <w:rsid w:val="0059629D"/>
    <w:rsid w:val="005A4203"/>
    <w:rsid w:val="005E1FCB"/>
    <w:rsid w:val="00613AEE"/>
    <w:rsid w:val="0061646D"/>
    <w:rsid w:val="00636F7D"/>
    <w:rsid w:val="00653D0F"/>
    <w:rsid w:val="006566B7"/>
    <w:rsid w:val="00664F14"/>
    <w:rsid w:val="00670519"/>
    <w:rsid w:val="006A5EAE"/>
    <w:rsid w:val="006B08F4"/>
    <w:rsid w:val="006F47C5"/>
    <w:rsid w:val="007217D0"/>
    <w:rsid w:val="00771AF8"/>
    <w:rsid w:val="007844AB"/>
    <w:rsid w:val="007851B1"/>
    <w:rsid w:val="007C3B9B"/>
    <w:rsid w:val="00802A71"/>
    <w:rsid w:val="008222DE"/>
    <w:rsid w:val="008851B5"/>
    <w:rsid w:val="00891676"/>
    <w:rsid w:val="00896ECC"/>
    <w:rsid w:val="008B5B4D"/>
    <w:rsid w:val="008D263F"/>
    <w:rsid w:val="008D40ED"/>
    <w:rsid w:val="008F3CE4"/>
    <w:rsid w:val="00936359"/>
    <w:rsid w:val="00936D23"/>
    <w:rsid w:val="00965D80"/>
    <w:rsid w:val="00A07EC2"/>
    <w:rsid w:val="00A1304E"/>
    <w:rsid w:val="00A13944"/>
    <w:rsid w:val="00AA1706"/>
    <w:rsid w:val="00AD2130"/>
    <w:rsid w:val="00AD4DA0"/>
    <w:rsid w:val="00AF0B5A"/>
    <w:rsid w:val="00AF5B1F"/>
    <w:rsid w:val="00B03D21"/>
    <w:rsid w:val="00B93BF4"/>
    <w:rsid w:val="00BA76A0"/>
    <w:rsid w:val="00BC6020"/>
    <w:rsid w:val="00C02B05"/>
    <w:rsid w:val="00C23CDC"/>
    <w:rsid w:val="00CA1779"/>
    <w:rsid w:val="00CD7903"/>
    <w:rsid w:val="00CE24A4"/>
    <w:rsid w:val="00CF285F"/>
    <w:rsid w:val="00D23FFD"/>
    <w:rsid w:val="00D550C3"/>
    <w:rsid w:val="00E41975"/>
    <w:rsid w:val="00E66FD4"/>
    <w:rsid w:val="00E70063"/>
    <w:rsid w:val="00E763A2"/>
    <w:rsid w:val="00E77D4B"/>
    <w:rsid w:val="00EC41C5"/>
    <w:rsid w:val="00FF3CB6"/>
    <w:rsid w:val="00FF6BA0"/>
    <w:rsid w:val="067F72BB"/>
    <w:rsid w:val="06AA1A56"/>
    <w:rsid w:val="09A52D8C"/>
    <w:rsid w:val="1F070103"/>
    <w:rsid w:val="27FC5973"/>
    <w:rsid w:val="318B6972"/>
    <w:rsid w:val="3ED74FA5"/>
    <w:rsid w:val="4D3C70C3"/>
    <w:rsid w:val="50B01C20"/>
    <w:rsid w:val="73B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eastAsiaTheme="minorEastAsia"/>
      <w:sz w:val="24"/>
      <w:szCs w:val="24"/>
    </w:rPr>
  </w:style>
  <w:style w:type="paragraph" w:customStyle="1" w:styleId="9">
    <w:name w:val="发文题目"/>
    <w:basedOn w:val="1"/>
    <w:link w:val="30"/>
    <w:qFormat/>
    <w:uiPriority w:val="0"/>
    <w:pPr>
      <w:adjustRightInd w:val="0"/>
      <w:snapToGrid w:val="0"/>
      <w:spacing w:line="60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联系方式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Times New Roman" w:hAnsi="Times New Roman" w:eastAsia="仿宋"/>
      <w:kern w:val="0"/>
      <w:sz w:val="32"/>
    </w:rPr>
  </w:style>
  <w:style w:type="paragraph" w:customStyle="1" w:styleId="11">
    <w:name w:val="落款"/>
    <w:basedOn w:val="1"/>
    <w:qFormat/>
    <w:uiPriority w:val="0"/>
    <w:pPr>
      <w:adjustRightInd w:val="0"/>
      <w:snapToGrid w:val="0"/>
      <w:spacing w:line="600" w:lineRule="exact"/>
      <w:jc w:val="right"/>
    </w:pPr>
    <w:rPr>
      <w:rFonts w:ascii="Times New Roman" w:hAnsi="Times New Roman" w:eastAsia="仿宋"/>
      <w:kern w:val="0"/>
      <w:sz w:val="32"/>
    </w:rPr>
  </w:style>
  <w:style w:type="paragraph" w:customStyle="1" w:styleId="12">
    <w:name w:val="主送单位"/>
    <w:basedOn w:val="1"/>
    <w:next w:val="13"/>
    <w:qFormat/>
    <w:uiPriority w:val="0"/>
    <w:pPr>
      <w:adjustRightInd w:val="0"/>
      <w:snapToGrid w:val="0"/>
      <w:spacing w:line="600" w:lineRule="exact"/>
    </w:pPr>
    <w:rPr>
      <w:rFonts w:ascii="Times New Roman" w:hAnsi="Times New Roman" w:eastAsia="仿宋"/>
      <w:sz w:val="32"/>
      <w:szCs w:val="24"/>
    </w:rPr>
  </w:style>
  <w:style w:type="paragraph" w:customStyle="1" w:styleId="13">
    <w:name w:val="发文正文"/>
    <w:basedOn w:val="1"/>
    <w:link w:val="26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Times New Roman" w:hAnsi="Times New Roman" w:eastAsia="仿宋"/>
      <w:kern w:val="0"/>
      <w:sz w:val="32"/>
    </w:rPr>
  </w:style>
  <w:style w:type="paragraph" w:customStyle="1" w:styleId="14">
    <w:name w:val="一级标题"/>
    <w:basedOn w:val="1"/>
    <w:link w:val="15"/>
    <w:qFormat/>
    <w:uiPriority w:val="0"/>
    <w:pPr>
      <w:widowControl/>
      <w:ind w:firstLine="482"/>
    </w:pPr>
    <w:rPr>
      <w:rFonts w:eastAsia="黑体"/>
      <w:sz w:val="32"/>
    </w:rPr>
  </w:style>
  <w:style w:type="character" w:customStyle="1" w:styleId="15">
    <w:name w:val="一级标题 字符"/>
    <w:basedOn w:val="16"/>
    <w:link w:val="14"/>
    <w:qFormat/>
    <w:uiPriority w:val="0"/>
    <w:rPr>
      <w:rFonts w:ascii="Calibri" w:hAnsi="Calibri" w:eastAsia="黑体" w:cs="Times New Roman"/>
      <w:b w:val="0"/>
      <w:bCs w:val="0"/>
      <w:kern w:val="44"/>
      <w:sz w:val="32"/>
      <w:szCs w:val="44"/>
    </w:r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9">
    <w:name w:val="二级标题"/>
    <w:basedOn w:val="1"/>
    <w:next w:val="13"/>
    <w:link w:val="20"/>
    <w:qFormat/>
    <w:uiPriority w:val="0"/>
    <w:pPr>
      <w:widowControl/>
      <w:adjustRightInd w:val="0"/>
      <w:snapToGrid w:val="0"/>
      <w:spacing w:line="600" w:lineRule="exact"/>
      <w:ind w:firstLine="641"/>
      <w:jc w:val="left"/>
    </w:pPr>
    <w:rPr>
      <w:rFonts w:ascii="楷体" w:hAnsi="楷体" w:eastAsia="楷体" w:cs="楷体"/>
      <w:sz w:val="32"/>
    </w:rPr>
  </w:style>
  <w:style w:type="character" w:customStyle="1" w:styleId="20">
    <w:name w:val="二级标题 字符"/>
    <w:basedOn w:val="21"/>
    <w:link w:val="19"/>
    <w:qFormat/>
    <w:uiPriority w:val="0"/>
    <w:rPr>
      <w:rFonts w:ascii="楷体" w:hAnsi="楷体" w:eastAsia="楷体" w:cs="楷体"/>
      <w:b w:val="0"/>
      <w:bCs w:val="0"/>
      <w:sz w:val="32"/>
      <w:szCs w:val="32"/>
    </w:rPr>
  </w:style>
  <w:style w:type="character" w:customStyle="1" w:styleId="2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抄送单位"/>
    <w:basedOn w:val="1"/>
    <w:next w:val="13"/>
    <w:link w:val="23"/>
    <w:qFormat/>
    <w:uiPriority w:val="0"/>
    <w:pPr>
      <w:pBdr>
        <w:top w:val="single" w:color="auto" w:sz="4" w:space="1"/>
        <w:bottom w:val="single" w:color="auto" w:sz="4" w:space="1"/>
      </w:pBdr>
      <w:spacing w:line="600" w:lineRule="exact"/>
      <w:ind w:firstLine="192" w:firstLineChars="60"/>
      <w:textAlignment w:val="center"/>
    </w:pPr>
    <w:rPr>
      <w:rFonts w:ascii="Times New Roman" w:hAnsi="Times New Roman" w:eastAsia="仿宋"/>
      <w:sz w:val="32"/>
      <w:szCs w:val="32"/>
    </w:rPr>
  </w:style>
  <w:style w:type="character" w:customStyle="1" w:styleId="23">
    <w:name w:val="抄送单位 字符"/>
    <w:basedOn w:val="8"/>
    <w:link w:val="22"/>
    <w:qFormat/>
    <w:uiPriority w:val="0"/>
    <w:rPr>
      <w:rFonts w:ascii="Times New Roman" w:hAnsi="Times New Roman" w:eastAsia="仿宋" w:cs="Times New Roman"/>
      <w:sz w:val="32"/>
      <w:szCs w:val="32"/>
    </w:rPr>
  </w:style>
  <w:style w:type="paragraph" w:customStyle="1" w:styleId="24">
    <w:name w:val="附件左上角标题"/>
    <w:basedOn w:val="1"/>
    <w:next w:val="9"/>
    <w:link w:val="25"/>
    <w:qFormat/>
    <w:uiPriority w:val="0"/>
    <w:pPr>
      <w:jc w:val="left"/>
    </w:pPr>
    <w:rPr>
      <w:rFonts w:ascii="黑体" w:hAnsi="黑体" w:eastAsia="黑体"/>
      <w:sz w:val="32"/>
      <w:szCs w:val="32"/>
    </w:rPr>
  </w:style>
  <w:style w:type="character" w:customStyle="1" w:styleId="25">
    <w:name w:val="附件左上角标题 字符"/>
    <w:basedOn w:val="8"/>
    <w:link w:val="24"/>
    <w:qFormat/>
    <w:uiPriority w:val="0"/>
    <w:rPr>
      <w:rFonts w:ascii="黑体" w:hAnsi="黑体" w:eastAsia="黑体" w:cs="Times New Roman"/>
      <w:sz w:val="32"/>
      <w:szCs w:val="32"/>
    </w:rPr>
  </w:style>
  <w:style w:type="character" w:customStyle="1" w:styleId="26">
    <w:name w:val="发文正文 字符"/>
    <w:basedOn w:val="8"/>
    <w:link w:val="13"/>
    <w:qFormat/>
    <w:uiPriority w:val="0"/>
    <w:rPr>
      <w:rFonts w:ascii="Times New Roman" w:hAnsi="Times New Roman" w:eastAsia="仿宋" w:cs="Times New Roman"/>
      <w:kern w:val="0"/>
      <w:sz w:val="32"/>
    </w:rPr>
  </w:style>
  <w:style w:type="paragraph" w:customStyle="1" w:styleId="27">
    <w:name w:val="附件悬挂"/>
    <w:basedOn w:val="13"/>
    <w:link w:val="28"/>
    <w:qFormat/>
    <w:uiPriority w:val="0"/>
    <w:pPr>
      <w:ind w:left="600" w:leftChars="300" w:hanging="300" w:hangingChars="300"/>
    </w:pPr>
    <w:rPr>
      <w:szCs w:val="21"/>
    </w:rPr>
  </w:style>
  <w:style w:type="character" w:customStyle="1" w:styleId="28">
    <w:name w:val="附件悬挂 字符"/>
    <w:basedOn w:val="26"/>
    <w:link w:val="27"/>
    <w:qFormat/>
    <w:uiPriority w:val="0"/>
    <w:rPr>
      <w:rFonts w:ascii="Times New Roman" w:hAnsi="Times New Roman" w:eastAsia="仿宋" w:cs="Times New Roman"/>
      <w:kern w:val="0"/>
      <w:sz w:val="32"/>
      <w:szCs w:val="21"/>
    </w:rPr>
  </w:style>
  <w:style w:type="paragraph" w:customStyle="1" w:styleId="29">
    <w:name w:val="备注副标题"/>
    <w:basedOn w:val="9"/>
    <w:link w:val="31"/>
    <w:qFormat/>
    <w:uiPriority w:val="0"/>
    <w:pPr>
      <w:spacing w:line="560" w:lineRule="exact"/>
    </w:pPr>
    <w:rPr>
      <w:rFonts w:ascii="楷体" w:hAnsi="楷体" w:eastAsia="楷体"/>
      <w:sz w:val="32"/>
      <w:szCs w:val="32"/>
    </w:rPr>
  </w:style>
  <w:style w:type="character" w:customStyle="1" w:styleId="30">
    <w:name w:val="发文题目 字符"/>
    <w:basedOn w:val="8"/>
    <w:link w:val="9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31">
    <w:name w:val="备注副标题 字符"/>
    <w:basedOn w:val="30"/>
    <w:link w:val="29"/>
    <w:qFormat/>
    <w:uiPriority w:val="0"/>
    <w:rPr>
      <w:rFonts w:ascii="楷体" w:hAnsi="楷体" w:eastAsia="楷体" w:cs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1094</Characters>
  <Lines>9</Lines>
  <Paragraphs>2</Paragraphs>
  <TotalTime>6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2024-08-21T08:17:00Z</dcterms:created>
  <dc:creator>鬼 爺</dc:creator>
  <cp:lastModifiedBy>Peng Nan</cp:lastModifiedBy>
  <dcterms:modified xsi:type="dcterms:W3CDTF">2025-12-15T09:36:01Z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D12FDD7CC7524BF796672EAFE3A4DBD0_13</vt:lpwstr>
  </property>
  <property fmtid="{D5CDD505-2E9C-101B-9397-08002B2CF9AE}" pid="4" name="KSOTemplateDocerSaveRecord">
    <vt:lpwstr>eyJoZGlkIjoiNTk4YWI0ZmM0YjA4NzVhZTIyYWU5Mjc1MjhlMjhlMTMiLCJ1c2VySWQiOiIzNjI2NzQ0NDYifQ==</vt:lpwstr>
  </property>
</Properties>
</file>