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bmp" ContentType="image/bmp"/>
  <Default Extension="jpeg" ContentType="image/jpeg"/>
  <Default Extension="png" ContentType="image/png"/>
  <Default Extension="gif" ContentType="image/gif"/>
  <Default Extension="tif" ContentType="image/tif"/>
  <Default Extension="emf" ContentType="image/x-emf"/>
  <Default Extension="wmf" ContentType="image/wmf"/>
  <Default Extension="pct" ContentType="image/pct"/>
  <Default Extension="pcx" ContentType="image/pcx"/>
  <Default Extension="tga" ContentType="image/tga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 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/>
        <w:jc w:val="center"/>
        <w:rPr>
          <w:rFonts w:ascii="黑体" w:hAnsi="黑体" w:eastAsia="黑体"/>
          <w:b/>
          <w:sz w:val="52"/>
          <w:szCs w:val="52"/>
        </w:rPr>
      </w:pPr>
      <w:r>
        <w:rPr>
          <w:rFonts w:ascii="黑体" w:hAnsi="黑体" w:eastAsia="黑体" w:hint="eastAsia"/>
          <w:b/>
          <w:sz w:val="52"/>
          <w:szCs w:val="52"/>
        </w:rPr>
        <w:t>潮阳区政协办公室2017年预算公开</w:t>
      </w:r>
      <w:r>
        <w:rPr>
          <w:rFonts w:ascii="黑体" w:hAnsi="黑体" w:eastAsia="黑体"/>
          <w:b/>
          <w:sz w:val="52"/>
          <w:szCs w:val="52"/>
        </w:rPr>
      </w:r>
    </w:p>
    <w:p>
      <w:pPr>
        <w:spacing/>
        <w:jc w:val="center"/>
        <w:rPr>
          <w:rFonts w:ascii="黑体" w:hAnsi="黑体" w:eastAsia="黑体" w:hint="eastAsia"/>
          <w:b/>
          <w:sz w:val="52"/>
          <w:szCs w:val="52"/>
        </w:rPr>
      </w:pPr>
      <w:r>
        <w:rPr>
          <w:rFonts w:ascii="黑体" w:hAnsi="黑体" w:eastAsia="黑体" w:hint="eastAsia"/>
          <w:b/>
          <w:sz w:val="52"/>
          <w:szCs w:val="52"/>
        </w:rPr>
        <w:t xml:space="preserve"> </w:t>
      </w:r>
    </w:p>
    <w:p>
      <w:pPr>
        <w:spacing/>
        <w:jc w:val="center"/>
        <w:rPr>
          <w:rFonts w:ascii="黑体" w:hAnsi="黑体" w:eastAsia="黑体"/>
          <w:b/>
          <w:sz w:val="52"/>
          <w:szCs w:val="52"/>
        </w:rPr>
      </w:pPr>
      <w:r>
        <w:rPr>
          <w:rFonts w:ascii="黑体" w:hAnsi="黑体" w:eastAsia="黑体" w:hint="eastAsia"/>
          <w:sz w:val="52"/>
          <w:szCs w:val="52"/>
        </w:rPr>
        <w:t>二</w:t>
      </w:r>
      <w:r>
        <w:rPr>
          <w:rFonts w:ascii="黑体" w:hAnsi="黑体" w:eastAsia="黑体" w:hint="eastAsia"/>
          <w:b/>
          <w:sz w:val="52"/>
          <w:szCs w:val="52"/>
        </w:rPr>
        <w:t>○</w:t>
      </w:r>
      <w:r>
        <w:rPr>
          <w:rFonts w:ascii="黑体" w:hAnsi="黑体" w:eastAsia="黑体" w:hint="eastAsia"/>
          <w:b/>
          <w:sz w:val="52"/>
          <w:szCs w:val="52"/>
        </w:rPr>
        <w:t>一七年</w:t>
      </w:r>
      <w:r>
        <w:rPr>
          <w:rFonts w:ascii="黑体" w:hAnsi="黑体" w:eastAsia="黑体"/>
          <w:b/>
          <w:sz w:val="52"/>
          <w:szCs w:val="52"/>
        </w:rPr>
      </w:r>
    </w:p>
    <w:p>
      <w:pPr>
        <w:spacing/>
        <w:jc w:val="center"/>
        <w:rPr>
          <w:rFonts w:ascii="黑体" w:hAnsi="黑体" w:eastAsia="黑体"/>
          <w:b/>
          <w:sz w:val="52"/>
          <w:szCs w:val="52"/>
        </w:rPr>
      </w:pPr>
      <w:r>
        <w:rPr>
          <w:rFonts w:ascii="黑体" w:hAnsi="黑体" w:eastAsia="黑体"/>
          <w:b/>
          <w:sz w:val="52"/>
          <w:szCs w:val="52"/>
        </w:rPr>
      </w:r>
    </w:p>
    <w:p>
      <w:pPr>
        <w:spacing w:line="360" w:lineRule="auto"/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 w:hint="eastAsia"/>
          <w:b/>
          <w:sz w:val="44"/>
          <w:szCs w:val="44"/>
        </w:rPr>
        <w:t>目录</w:t>
      </w:r>
      <w:r>
        <w:rPr>
          <w:rFonts w:ascii="宋体" w:hAnsi="宋体"/>
          <w:b/>
          <w:sz w:val="44"/>
          <w:szCs w:val="44"/>
        </w:rPr>
      </w:r>
    </w:p>
    <w:p>
      <w:pPr>
        <w:spacing w:line="360" w:lineRule="auto"/>
        <w:jc w:val="center"/>
        <w:rPr>
          <w:rFonts w:ascii="仿宋_GB2312" w:hAnsi="仿宋_GB2312" w:eastAsia="仿宋_GB2312"/>
          <w:sz w:val="28"/>
          <w:szCs w:val="28"/>
        </w:rPr>
      </w:pPr>
      <w:r>
        <w:rPr>
          <w:rFonts w:ascii="仿宋_GB2312" w:hAnsi="仿宋_GB2312" w:eastAsia="仿宋_GB2312"/>
          <w:sz w:val="28"/>
          <w:szCs w:val="28"/>
        </w:rPr>
      </w:r>
    </w:p>
    <w:p>
      <w:pPr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第一部分 潮阳区政协办公室概况</w:t>
      </w:r>
      <w:r>
        <w:rPr>
          <w:rFonts w:ascii="仿宋" w:hAnsi="仿宋" w:eastAsia="仿宋"/>
          <w:sz w:val="32"/>
          <w:szCs w:val="32"/>
        </w:rPr>
      </w:r>
    </w:p>
    <w:p>
      <w:pPr>
        <w:ind w:left="420" w:firstLine="16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一、部门职能</w:t>
      </w:r>
      <w:r>
        <w:rPr>
          <w:rFonts w:ascii="仿宋" w:hAnsi="仿宋" w:eastAsia="仿宋"/>
          <w:sz w:val="32"/>
          <w:szCs w:val="32"/>
        </w:rPr>
      </w:r>
    </w:p>
    <w:p>
      <w:pPr>
        <w:ind w:left="420" w:firstLine="16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二、部门预算单位构成</w:t>
      </w:r>
      <w:r>
        <w:rPr>
          <w:rFonts w:ascii="仿宋" w:hAnsi="仿宋" w:eastAsia="仿宋"/>
          <w:sz w:val="32"/>
          <w:szCs w:val="32"/>
        </w:rPr>
      </w:r>
    </w:p>
    <w:p>
      <w:pPr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第二部分 潮阳区政协办公室2017年部门预算情况说明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一、收支预算说明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二、其他事项说明</w:t>
      </w:r>
      <w:r>
        <w:rPr>
          <w:rFonts w:ascii="仿宋" w:hAnsi="仿宋" w:eastAsia="仿宋"/>
          <w:sz w:val="32"/>
          <w:szCs w:val="32"/>
        </w:rPr>
      </w:r>
    </w:p>
    <w:p>
      <w:pPr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第三部分 专业名词解释</w:t>
      </w:r>
      <w:r>
        <w:rPr>
          <w:rFonts w:ascii="仿宋" w:hAnsi="仿宋" w:eastAsia="仿宋"/>
          <w:sz w:val="32"/>
          <w:szCs w:val="32"/>
        </w:rPr>
      </w:r>
    </w:p>
    <w:p>
      <w:pPr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第四部分 潮阳区政协办公室2017年部门预算表</w:t>
      </w:r>
      <w:r>
        <w:rPr>
          <w:rFonts w:ascii="仿宋" w:hAnsi="仿宋" w:eastAsia="仿宋"/>
          <w:sz w:val="32"/>
          <w:szCs w:val="32"/>
        </w:rPr>
      </w:r>
    </w:p>
    <w:p>
      <w:pPr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 xml:space="preserve">    表1  部门预算收支总体情况表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表2  部门收入总体情况表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表3  部门支出总体情况表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表4  财政拨款收支总体情况表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表5  一般公共预算支出情况表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表6  一般公共预算基本支出情况表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表7  一般公共预算安排的“三公”经费预算情况表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表8  政府性基金预算支出情况表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表9  部门预算基本支出明细表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表10 部门预算项目支出明细表</w:t>
      </w:r>
      <w:r>
        <w:rPr>
          <w:rFonts w:ascii="仿宋" w:hAnsi="仿宋" w:eastAsia="仿宋"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 xml:space="preserve"> </w:t>
      </w:r>
      <w:r>
        <w:rPr>
          <w:rFonts w:ascii="仿宋" w:hAnsi="仿宋" w:eastAsia="仿宋"/>
          <w:sz w:val="32"/>
          <w:szCs w:val="32"/>
        </w:rPr>
      </w:r>
    </w:p>
    <w:p>
      <w:pPr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</w:r>
    </w:p>
    <w:p>
      <w:pPr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</w:r>
    </w:p>
    <w:p>
      <w:pPr>
        <w:spacing w:line="360" w:lineRule="auto"/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 xml:space="preserve">第一部分 </w:t>
      </w:r>
      <w:r>
        <w:rPr>
          <w:rFonts w:ascii="仿宋_GB2312" w:hAnsi="仿宋_GB2312" w:eastAsia="仿宋_GB2312" w:cs="仿宋_GB2312" w:hint="eastAsia"/>
          <w:b/>
          <w:bCs/>
          <w:sz w:val="32"/>
          <w:szCs w:val="32"/>
        </w:rPr>
        <w:t>潮阳区政协办公室</w:t>
      </w:r>
      <w:r>
        <w:rPr>
          <w:rFonts w:ascii="仿宋_GB2312" w:hAnsi="仿宋_GB2312" w:eastAsia="仿宋_GB2312" w:cs="仿宋_GB2312" w:hint="eastAsia"/>
          <w:b/>
          <w:sz w:val="32"/>
          <w:szCs w:val="32"/>
        </w:rPr>
        <w:t>概况</w:t>
      </w:r>
      <w:r>
        <w:rPr>
          <w:rFonts w:ascii="仿宋" w:hAnsi="仿宋" w:eastAsia="仿宋"/>
          <w:b/>
          <w:sz w:val="32"/>
          <w:szCs w:val="32"/>
        </w:rPr>
      </w:r>
    </w:p>
    <w:p>
      <w:pPr>
        <w:spacing/>
        <w:jc w:val="left"/>
        <w:tab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none"/>
        <w:rPr>
          <w:rFonts w:eastAsia="SimSun"/>
          <w:sz w:val="20"/>
          <w:szCs w:val="20"/>
          <w:lang w:val="en-us" w:eastAsia="zh-cn" w:bidi="ar-sa"/>
        </w:rPr>
      </w:pPr>
      <w:r>
        <w:rPr>
          <w:rFonts w:eastAsia="SimSun"/>
          <w:sz w:val="20"/>
          <w:szCs w:val="20"/>
          <w:lang w:val="en-us" w:eastAsia="zh-cn" w:bidi="ar-sa"/>
        </w:rPr>
      </w:r>
    </w:p>
    <w:p>
      <w:pPr>
        <w:ind w:left="1080" w:hanging="1080"/>
        <w:spacing w:line="500" w:lineRule="exact"/>
        <w:rPr>
          <w:rFonts w:ascii="仿宋_GB2312" w:hAnsi="仿宋_GB2312" w:eastAsia="Times New Roman" w:hint="eastAsia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一、部门机构设置、职能</w:t>
      </w:r>
      <w:r>
        <w:rPr>
          <w:rFonts w:ascii="仿宋_GB2312" w:hAnsi="仿宋_GB2312" w:eastAsia="Times New Roman" w:hint="eastAsia"/>
          <w:sz w:val="32"/>
          <w:szCs w:val="32"/>
        </w:rPr>
      </w:r>
    </w:p>
    <w:p>
      <w:pPr>
        <w:ind w:firstLine="720"/>
        <w:spacing w:line="500" w:lineRule="exact"/>
        <w:rPr>
          <w:rFonts w:eastAsia="SimSun"/>
          <w:sz w:val="20"/>
          <w:szCs w:val="20"/>
          <w:lang w:val="en-us" w:eastAsia="zh-cn" w:bidi="ar-sa"/>
        </w:rPr>
      </w:pPr>
      <w:r>
        <w:rPr>
          <w:rFonts w:eastAsia="仿宋_GB2312" w:hint="eastAsia"/>
          <w:sz w:val="32"/>
          <w:szCs w:val="32"/>
        </w:rPr>
        <w:t>汕头市潮阳区政协办公室</w:t>
      </w:r>
      <w:r>
        <w:rPr>
          <w:rFonts w:eastAsia="SimSun"/>
          <w:color w:val="333333"/>
          <w:sz w:val="32"/>
          <w:szCs w:val="32"/>
          <w:lang w:val="en-us" w:eastAsia="zh-cn" w:bidi="ar-sa"/>
        </w:rPr>
        <w:t>预算编制范围的单位有1个。</w:t>
      </w:r>
      <w:r>
        <w:rPr>
          <w:rFonts w:eastAsia="SimSun"/>
          <w:sz w:val="20"/>
          <w:szCs w:val="20"/>
          <w:lang w:val="en-us" w:eastAsia="zh-cn" w:bidi="ar-sa"/>
        </w:rPr>
      </w:r>
    </w:p>
    <w:p>
      <w:pPr>
        <w:ind w:firstLine="720"/>
        <w:spacing w:line="500" w:lineRule="exact"/>
        <w:rPr>
          <w:rFonts w:ascii="仿宋_GB2312" w:hAnsi="仿宋_GB2312" w:eastAsia="Times New Roman" w:hint="eastAsia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汕头市潮阳区政协办公室的职责是：协助主席会议工作，协调专委会工作。主持机关全面工作和机关党务工作，组织带领机关干部职工认真执行区委、区政府和区政协的工作部署及任务，经常与科室联络情况，抓好干部职工的思想政治教育和业务学习，负责机关岗位责任制和各项规章制度实施的监督工作，负责机关财务收支管理制度建设的工作，负责签发办公室文件和《政协简报》，编辑《潮阳文史》印发，政协会议、委员视察等，协助区政协领导掌握的工作情况及任务。</w:t>
      </w:r>
      <w:r>
        <w:rPr>
          <w:rFonts w:ascii="仿宋_GB2312" w:hAnsi="仿宋_GB2312" w:eastAsia="Times New Roman" w:hint="eastAsia"/>
          <w:sz w:val="32"/>
          <w:szCs w:val="32"/>
        </w:rPr>
      </w:r>
    </w:p>
    <w:p>
      <w:pPr>
        <w:ind w:left="1080" w:hanging="1080"/>
        <w:spacing w:line="500" w:lineRule="exact"/>
        <w:rPr>
          <w:rFonts w:ascii="仿宋_GB2312" w:hAnsi="仿宋_GB2312" w:eastAsia="Times New Roman" w:hint="eastAsia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二、人员情况</w:t>
      </w:r>
      <w:r>
        <w:rPr>
          <w:rFonts w:ascii="仿宋_GB2312" w:hAnsi="仿宋_GB2312" w:eastAsia="Times New Roman" w:hint="eastAsia"/>
          <w:sz w:val="32"/>
          <w:szCs w:val="32"/>
        </w:rPr>
      </w:r>
    </w:p>
    <w:p>
      <w:pPr>
        <w:ind w:firstLine="432"/>
        <w:spacing w:line="500" w:lineRule="exact"/>
        <w:rPr>
          <w:rFonts w:eastAsia="仿宋_GB2312" w:hint="eastAsia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汕头市潮阳区政协办公室共有财政拨款在职人员</w:t>
      </w:r>
      <w:r>
        <w:rPr>
          <w:rFonts w:ascii="仿宋_GB2312" w:hAnsi="仿宋_GB2312" w:eastAsia="仿宋_GB2312"/>
          <w:sz w:val="32"/>
          <w:szCs w:val="32"/>
        </w:rPr>
        <w:t>13</w:t>
      </w:r>
      <w:r>
        <w:rPr>
          <w:rFonts w:eastAsia="仿宋_GB2312" w:hint="eastAsia"/>
          <w:sz w:val="32"/>
          <w:szCs w:val="32"/>
        </w:rPr>
        <w:t>人，其中：行政机关在职人数</w:t>
      </w:r>
      <w:r>
        <w:rPr>
          <w:rFonts w:ascii="仿宋_GB2312" w:hAnsi="仿宋_GB2312" w:eastAsia="仿宋_GB2312"/>
          <w:sz w:val="32"/>
          <w:szCs w:val="32"/>
        </w:rPr>
        <w:t>13</w:t>
      </w:r>
      <w:r>
        <w:rPr>
          <w:rFonts w:eastAsia="仿宋_GB2312" w:hint="eastAsia"/>
          <w:sz w:val="32"/>
          <w:szCs w:val="32"/>
        </w:rPr>
        <w:t>人；离退休人员</w:t>
      </w:r>
      <w:r>
        <w:rPr>
          <w:rFonts w:ascii="仿宋_GB2312" w:hAnsi="仿宋_GB2312" w:eastAsia="仿宋_GB2312"/>
          <w:sz w:val="32"/>
          <w:szCs w:val="32"/>
        </w:rPr>
        <w:t>14</w:t>
      </w:r>
      <w:r>
        <w:rPr>
          <w:rFonts w:eastAsia="仿宋_GB2312" w:hint="eastAsia"/>
          <w:sz w:val="32"/>
          <w:szCs w:val="32"/>
        </w:rPr>
        <w:t>人，其中：离休人员</w:t>
      </w:r>
      <w:r>
        <w:rPr>
          <w:rFonts w:ascii="仿宋_GB2312" w:hAnsi="仿宋_GB2312" w:eastAsia="仿宋_GB2312" w:hint="eastAsia"/>
          <w:sz w:val="32"/>
          <w:szCs w:val="32"/>
        </w:rPr>
        <w:t>4</w:t>
      </w:r>
      <w:r>
        <w:rPr>
          <w:rFonts w:eastAsia="仿宋_GB2312" w:hint="eastAsia"/>
          <w:sz w:val="32"/>
          <w:szCs w:val="32"/>
        </w:rPr>
        <w:t>人，退休人员</w:t>
      </w:r>
      <w:r>
        <w:rPr>
          <w:rFonts w:ascii="仿宋_GB2312" w:hAnsi="仿宋_GB2312" w:eastAsia="仿宋_GB2312" w:hint="eastAsia"/>
          <w:sz w:val="32"/>
          <w:szCs w:val="32"/>
        </w:rPr>
        <w:t>10</w:t>
      </w:r>
      <w:r>
        <w:rPr>
          <w:rFonts w:eastAsia="仿宋_GB2312" w:hint="eastAsia"/>
          <w:sz w:val="32"/>
          <w:szCs w:val="32"/>
        </w:rPr>
        <w:t>人。</w:t>
      </w:r>
    </w:p>
    <w:p>
      <w:pPr>
        <w:spacing w:line="360" w:lineRule="auto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/>
          <w:b/>
          <w:sz w:val="32"/>
          <w:szCs w:val="32"/>
        </w:rPr>
      </w:r>
    </w:p>
    <w:p>
      <w:pPr>
        <w:spacing w:line="360" w:lineRule="auto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>二、部门预算单位构成</w:t>
      </w:r>
      <w:r>
        <w:rPr>
          <w:rFonts w:ascii="仿宋" w:hAnsi="仿宋" w:eastAsia="仿宋"/>
          <w:b/>
          <w:sz w:val="32"/>
          <w:szCs w:val="32"/>
        </w:rPr>
      </w:r>
    </w:p>
    <w:p>
      <w:pPr>
        <w:ind w:firstLine="555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按照预算管理有关规定和综合预算编制原则,潮阳区政协办公室2017年部门预算的编制范围包括：潮阳区政协办公室等</w:t>
      </w:r>
      <w:r>
        <w:rPr>
          <w:rFonts w:ascii="仿宋" w:hAnsi="仿宋" w:eastAsia="仿宋" w:hint="eastAsia"/>
          <w:sz w:val="32"/>
          <w:szCs w:val="32"/>
          <w:u w:color="auto" w:val="single"/>
        </w:rPr>
        <w:t>1</w:t>
      </w:r>
      <w:r>
        <w:rPr>
          <w:rFonts w:ascii="仿宋" w:hAnsi="仿宋" w:eastAsia="仿宋" w:hint="eastAsia"/>
          <w:sz w:val="32"/>
          <w:szCs w:val="32"/>
        </w:rPr>
        <w:t>家单位全部收入和支出。</w:t>
      </w:r>
      <w:r>
        <w:rPr>
          <w:rFonts w:ascii="仿宋" w:hAnsi="仿宋" w:eastAsia="仿宋"/>
          <w:sz w:val="32"/>
          <w:szCs w:val="32"/>
        </w:rPr>
      </w:r>
    </w:p>
    <w:p>
      <w:pPr>
        <w:ind w:firstLine="555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</w:r>
    </w:p>
    <w:p>
      <w:pPr>
        <w:spacing w:line="360" w:lineRule="auto"/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/>
          <w:b/>
          <w:sz w:val="32"/>
          <w:szCs w:val="32"/>
        </w:rPr>
      </w:r>
    </w:p>
    <w:p>
      <w:pPr>
        <w:spacing w:line="360" w:lineRule="auto"/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/>
          <w:b/>
          <w:sz w:val="32"/>
          <w:szCs w:val="32"/>
        </w:rPr>
      </w:r>
    </w:p>
    <w:p>
      <w:pPr>
        <w:spacing w:line="360" w:lineRule="auto"/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>第二部分潮阳区政协2017年部门预算情况说明</w:t>
      </w:r>
      <w:r>
        <w:rPr>
          <w:rFonts w:ascii="仿宋" w:hAnsi="仿宋" w:eastAsia="仿宋"/>
          <w:b/>
          <w:sz w:val="32"/>
          <w:szCs w:val="32"/>
        </w:rPr>
      </w:r>
    </w:p>
    <w:p>
      <w:pPr>
        <w:spacing w:line="360" w:lineRule="auto"/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/>
          <w:b/>
          <w:sz w:val="32"/>
          <w:szCs w:val="32"/>
        </w:rPr>
      </w:r>
    </w:p>
    <w:p>
      <w:pPr>
        <w:ind w:firstLine="630"/>
        <w:spacing w:line="360" w:lineRule="auto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>一、收支预算情况说明</w:t>
      </w:r>
      <w:r>
        <w:rPr>
          <w:rFonts w:ascii="仿宋" w:hAnsi="仿宋" w:eastAsia="仿宋"/>
          <w:b/>
          <w:sz w:val="32"/>
          <w:szCs w:val="32"/>
        </w:rPr>
      </w:r>
    </w:p>
    <w:p>
      <w:pPr>
        <w:ind w:firstLine="643"/>
        <w:spacing w:line="360" w:lineRule="auto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>（一）收入预算说明</w:t>
      </w:r>
      <w:r>
        <w:rPr>
          <w:rFonts w:ascii="仿宋" w:hAnsi="仿宋" w:eastAsia="仿宋"/>
          <w:b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2017年收入预算</w:t>
      </w:r>
      <w:r>
        <w:rPr>
          <w:rFonts w:ascii="仿宋" w:hAnsi="仿宋" w:eastAsia="仿宋" w:hint="eastAsia"/>
          <w:sz w:val="32"/>
          <w:szCs w:val="32"/>
          <w:u w:color="auto" w:val="single"/>
        </w:rPr>
        <w:t>397.89</w:t>
      </w:r>
      <w:r>
        <w:rPr>
          <w:rFonts w:ascii="仿宋" w:hAnsi="仿宋" w:eastAsia="仿宋" w:hint="eastAsia"/>
          <w:sz w:val="32"/>
          <w:szCs w:val="32"/>
        </w:rPr>
        <w:t>万元，比2016年预算数或减少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73.1</w:t>
      </w:r>
      <w:r>
        <w:rPr>
          <w:rFonts w:ascii="仿宋" w:hAnsi="仿宋" w:eastAsia="仿宋" w:hint="eastAsia"/>
          <w:sz w:val="32"/>
          <w:szCs w:val="32"/>
        </w:rPr>
        <w:t>万元，原因是</w:t>
      </w:r>
      <w:r>
        <w:rPr>
          <w:rFonts w:ascii="仿宋" w:hAnsi="仿宋" w:eastAsia="仿宋" w:hint="eastAsia"/>
          <w:sz w:val="32"/>
          <w:szCs w:val="32"/>
          <w:u w:color="auto" w:val="single"/>
        </w:rPr>
        <w:t>2016年政协举行换届会议</w:t>
      </w:r>
      <w:r>
        <w:rPr>
          <w:rFonts w:ascii="仿宋" w:hAnsi="仿宋" w:eastAsia="仿宋" w:hint="eastAsia"/>
          <w:sz w:val="32"/>
          <w:szCs w:val="32"/>
        </w:rPr>
        <w:t>。其中：财政拨款收入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397.89</w:t>
      </w:r>
      <w:r>
        <w:rPr>
          <w:rFonts w:ascii="仿宋" w:hAnsi="仿宋" w:eastAsia="仿宋" w:hint="eastAsia"/>
          <w:sz w:val="32"/>
          <w:szCs w:val="32"/>
        </w:rPr>
        <w:t xml:space="preserve"> 万元（预算拨款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397.89</w:t>
      </w:r>
      <w:r>
        <w:rPr>
          <w:rFonts w:ascii="仿宋" w:hAnsi="仿宋" w:eastAsia="仿宋" w:hint="eastAsia"/>
          <w:sz w:val="32"/>
          <w:szCs w:val="32"/>
        </w:rPr>
        <w:t xml:space="preserve"> 万元，非税拨款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</w:t>
      </w:r>
      <w:r>
        <w:rPr>
          <w:rFonts w:ascii="仿宋" w:hAnsi="仿宋" w:eastAsia="仿宋" w:hint="eastAsia"/>
          <w:sz w:val="32"/>
          <w:szCs w:val="32"/>
        </w:rPr>
        <w:t>万元，政府性基金预算拨款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 </w:t>
      </w:r>
      <w:r>
        <w:rPr>
          <w:rFonts w:ascii="仿宋" w:hAnsi="仿宋" w:eastAsia="仿宋" w:hint="eastAsia"/>
          <w:sz w:val="32"/>
          <w:szCs w:val="32"/>
        </w:rPr>
        <w:t>万元，财政专户拨款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 </w:t>
      </w:r>
      <w:r>
        <w:rPr>
          <w:rFonts w:ascii="仿宋" w:hAnsi="仿宋" w:eastAsia="仿宋" w:hint="eastAsia"/>
          <w:sz w:val="32"/>
          <w:szCs w:val="32"/>
        </w:rPr>
        <w:t>万元，上级财政补助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 </w:t>
      </w:r>
      <w:r>
        <w:rPr>
          <w:rFonts w:ascii="仿宋" w:hAnsi="仿宋" w:eastAsia="仿宋" w:hint="eastAsia"/>
          <w:sz w:val="32"/>
          <w:szCs w:val="32"/>
        </w:rPr>
        <w:t>万元），比2016年预算数减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   73.1   </w:t>
      </w:r>
      <w:r>
        <w:rPr>
          <w:rFonts w:ascii="仿宋" w:hAnsi="仿宋" w:eastAsia="仿宋" w:hint="eastAsia"/>
          <w:sz w:val="32"/>
          <w:szCs w:val="32"/>
        </w:rPr>
        <w:t>万元，原因是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2016年政协举行换届会议    </w:t>
      </w:r>
      <w:r>
        <w:rPr>
          <w:rFonts w:ascii="仿宋" w:hAnsi="仿宋" w:eastAsia="仿宋" w:hint="eastAsia"/>
          <w:sz w:val="32"/>
          <w:szCs w:val="32"/>
        </w:rPr>
        <w:t>；其他收入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 0  </w:t>
      </w:r>
      <w:r>
        <w:rPr>
          <w:rFonts w:ascii="仿宋" w:hAnsi="仿宋" w:eastAsia="仿宋" w:hint="eastAsia"/>
          <w:sz w:val="32"/>
          <w:szCs w:val="32"/>
        </w:rPr>
        <w:t>万元。</w:t>
      </w:r>
      <w:r>
        <w:rPr>
          <w:rFonts w:ascii="仿宋" w:hAnsi="仿宋" w:eastAsia="仿宋"/>
          <w:sz w:val="32"/>
          <w:szCs w:val="32"/>
        </w:rPr>
      </w:r>
    </w:p>
    <w:p>
      <w:pPr>
        <w:ind w:firstLine="643"/>
        <w:spacing w:line="360" w:lineRule="auto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>（二）支出预算说明</w:t>
      </w:r>
      <w:r>
        <w:rPr>
          <w:rFonts w:ascii="仿宋" w:hAnsi="仿宋" w:eastAsia="仿宋"/>
          <w:b/>
          <w:sz w:val="32"/>
          <w:szCs w:val="32"/>
        </w:rPr>
      </w:r>
    </w:p>
    <w:p>
      <w:pPr>
        <w:ind w:firstLine="640"/>
        <w:spacing w:line="360" w:lineRule="auto"/>
        <w:rPr>
          <w:rFonts w:ascii="仿宋" w:hAnsi="仿宋" w:eastAsia="仿宋"/>
          <w:bCs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2017年支出预算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397.89  </w:t>
      </w:r>
      <w:r>
        <w:rPr>
          <w:rFonts w:ascii="仿宋" w:hAnsi="仿宋" w:eastAsia="仿宋" w:hint="eastAsia"/>
          <w:sz w:val="32"/>
          <w:szCs w:val="32"/>
        </w:rPr>
        <w:t>万元，比2016年预算数减少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73.1 </w:t>
      </w:r>
      <w:r>
        <w:rPr>
          <w:rFonts w:ascii="仿宋" w:hAnsi="仿宋" w:eastAsia="仿宋" w:hint="eastAsia"/>
          <w:sz w:val="32"/>
          <w:szCs w:val="32"/>
        </w:rPr>
        <w:t>万元，原因是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2016年政协举行换届会议 </w:t>
      </w:r>
      <w:r>
        <w:rPr>
          <w:rFonts w:ascii="仿宋" w:hAnsi="仿宋" w:eastAsia="仿宋" w:hint="eastAsia"/>
          <w:sz w:val="32"/>
          <w:szCs w:val="32"/>
        </w:rPr>
        <w:t>。其中：财政拨款支出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397.89  </w:t>
      </w:r>
      <w:r>
        <w:rPr>
          <w:rFonts w:ascii="仿宋" w:hAnsi="仿宋" w:eastAsia="仿宋" w:hint="eastAsia"/>
          <w:sz w:val="32"/>
          <w:szCs w:val="32"/>
        </w:rPr>
        <w:t>万元（预算拨款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397.89  </w:t>
      </w:r>
      <w:r>
        <w:rPr>
          <w:rFonts w:ascii="仿宋" w:hAnsi="仿宋" w:eastAsia="仿宋" w:hint="eastAsia"/>
          <w:sz w:val="32"/>
          <w:szCs w:val="32"/>
        </w:rPr>
        <w:t>万元，非税拨款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 </w:t>
      </w:r>
      <w:r>
        <w:rPr>
          <w:rFonts w:ascii="仿宋" w:hAnsi="仿宋" w:eastAsia="仿宋" w:hint="eastAsia"/>
          <w:sz w:val="32"/>
          <w:szCs w:val="32"/>
        </w:rPr>
        <w:t>万元，政府性基金拨款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 </w:t>
      </w:r>
      <w:r>
        <w:rPr>
          <w:rFonts w:ascii="仿宋" w:hAnsi="仿宋" w:eastAsia="仿宋" w:hint="eastAsia"/>
          <w:sz w:val="32"/>
          <w:szCs w:val="32"/>
        </w:rPr>
        <w:t>万元，财政专户拨款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0  </w:t>
      </w:r>
      <w:r>
        <w:rPr>
          <w:rFonts w:ascii="仿宋" w:hAnsi="仿宋" w:eastAsia="仿宋" w:hint="eastAsia"/>
          <w:sz w:val="32"/>
          <w:szCs w:val="32"/>
        </w:rPr>
        <w:t>万元，上级财政补助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 </w:t>
      </w:r>
      <w:r>
        <w:rPr>
          <w:rFonts w:ascii="仿宋" w:hAnsi="仿宋" w:eastAsia="仿宋" w:hint="eastAsia"/>
          <w:sz w:val="32"/>
          <w:szCs w:val="32"/>
        </w:rPr>
        <w:t>万元）。按用途划分，</w:t>
      </w:r>
      <w:r>
        <w:rPr>
          <w:rFonts w:ascii="仿宋" w:hAnsi="仿宋" w:eastAsia="仿宋" w:hint="eastAsia"/>
          <w:bCs/>
          <w:sz w:val="32"/>
          <w:szCs w:val="32"/>
        </w:rPr>
        <w:t>基本支出预算</w:t>
      </w:r>
      <w:r>
        <w:rPr>
          <w:rFonts w:ascii="仿宋" w:hAnsi="仿宋" w:eastAsia="仿宋" w:hint="eastAsia"/>
          <w:bCs/>
          <w:sz w:val="32"/>
          <w:szCs w:val="32"/>
          <w:u w:color="auto" w:val="single"/>
        </w:rPr>
        <w:t xml:space="preserve"> 238.58  </w:t>
      </w:r>
      <w:r>
        <w:rPr>
          <w:rFonts w:ascii="仿宋" w:hAnsi="仿宋" w:eastAsia="仿宋" w:hint="eastAsia"/>
          <w:bCs/>
          <w:sz w:val="32"/>
          <w:szCs w:val="32"/>
        </w:rPr>
        <w:t>万元，项目支出预算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159.31    </w:t>
      </w:r>
      <w:r>
        <w:rPr>
          <w:rFonts w:ascii="仿宋" w:hAnsi="仿宋" w:eastAsia="仿宋" w:hint="eastAsia"/>
          <w:sz w:val="32"/>
          <w:szCs w:val="32"/>
        </w:rPr>
        <w:t>万元</w:t>
      </w:r>
      <w:r>
        <w:rPr>
          <w:rFonts w:ascii="仿宋" w:hAnsi="仿宋" w:eastAsia="仿宋" w:hint="eastAsia"/>
          <w:bCs/>
          <w:sz w:val="32"/>
          <w:szCs w:val="32"/>
        </w:rPr>
        <w:t>。</w:t>
      </w:r>
      <w:r>
        <w:rPr>
          <w:rFonts w:ascii="仿宋" w:hAnsi="仿宋" w:eastAsia="仿宋"/>
          <w:bCs/>
          <w:sz w:val="32"/>
          <w:szCs w:val="32"/>
        </w:rPr>
      </w:r>
    </w:p>
    <w:p>
      <w:pPr>
        <w:ind w:firstLine="643"/>
        <w:spacing w:line="360" w:lineRule="auto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>二、其他事项说明</w:t>
      </w:r>
      <w:r>
        <w:rPr>
          <w:rFonts w:ascii="仿宋" w:hAnsi="仿宋" w:eastAsia="仿宋"/>
          <w:b/>
          <w:sz w:val="32"/>
          <w:szCs w:val="32"/>
        </w:rPr>
      </w:r>
    </w:p>
    <w:p>
      <w:pPr>
        <w:ind w:firstLine="643"/>
        <w:spacing w:line="360" w:lineRule="auto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>（一）一般公共预算“三公”经费支出情况说明</w:t>
      </w:r>
      <w:r>
        <w:rPr>
          <w:rFonts w:ascii="仿宋" w:hAnsi="仿宋" w:eastAsia="仿宋"/>
          <w:b/>
          <w:sz w:val="32"/>
          <w:szCs w:val="32"/>
        </w:rPr>
      </w:r>
    </w:p>
    <w:p>
      <w:pPr>
        <w:ind w:firstLine="627"/>
        <w:spacing w:line="360" w:lineRule="auto"/>
        <w:rPr>
          <w:rFonts w:ascii="仿宋" w:hAnsi="仿宋" w:eastAsia="仿宋"/>
          <w:sz w:val="32"/>
          <w:szCs w:val="32"/>
          <w:u w:color="auto" w:val="single"/>
        </w:rPr>
      </w:pPr>
      <w:r>
        <w:rPr>
          <w:rFonts w:ascii="仿宋" w:hAnsi="仿宋" w:eastAsia="仿宋" w:hint="eastAsia"/>
          <w:sz w:val="32"/>
          <w:szCs w:val="32"/>
        </w:rPr>
        <w:t>2017年“三公”经费预算数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7.5 </w:t>
      </w:r>
      <w:r>
        <w:rPr>
          <w:rFonts w:ascii="仿宋" w:hAnsi="仿宋" w:eastAsia="仿宋" w:hint="eastAsia"/>
          <w:sz w:val="32"/>
          <w:szCs w:val="32"/>
        </w:rPr>
        <w:t>万元，比2016年预算数增加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0 </w:t>
      </w:r>
      <w:r>
        <w:rPr>
          <w:rFonts w:ascii="仿宋" w:hAnsi="仿宋" w:eastAsia="仿宋" w:hint="eastAsia"/>
          <w:sz w:val="32"/>
          <w:szCs w:val="32"/>
        </w:rPr>
        <w:t>万元。其中：因公出国（境）费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</w:t>
      </w:r>
      <w:r>
        <w:rPr>
          <w:rFonts w:ascii="仿宋" w:hAnsi="仿宋" w:eastAsia="仿宋" w:hint="eastAsia"/>
          <w:sz w:val="32"/>
          <w:szCs w:val="32"/>
        </w:rPr>
        <w:t>万元，比2016年预算数增加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 </w:t>
      </w:r>
      <w:r>
        <w:rPr>
          <w:rFonts w:ascii="仿宋" w:hAnsi="仿宋" w:eastAsia="仿宋" w:hint="eastAsia"/>
          <w:sz w:val="32"/>
          <w:szCs w:val="32"/>
        </w:rPr>
        <w:t>万元，主要原因是：</w:t>
      </w:r>
      <w:r>
        <w:rPr>
          <w:rFonts w:eastAsia="SimSun"/>
          <w:color w:val="333333"/>
          <w:sz w:val="32"/>
          <w:szCs w:val="32"/>
          <w:u w:color="auto" w:val="single"/>
          <w:lang w:val="en-us" w:eastAsia="zh-cn" w:bidi="ar-sa"/>
        </w:rPr>
        <w:t>年度预算没有因公出国（境）费用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</w:t>
      </w:r>
      <w:r>
        <w:rPr>
          <w:rFonts w:ascii="仿宋" w:hAnsi="仿宋" w:eastAsia="仿宋" w:hint="eastAsia"/>
          <w:sz w:val="32"/>
          <w:szCs w:val="32"/>
        </w:rPr>
        <w:t>； 公务用车购置及运行费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7.5   </w:t>
      </w:r>
      <w:r>
        <w:rPr>
          <w:rFonts w:ascii="仿宋" w:hAnsi="仿宋" w:eastAsia="仿宋" w:hint="eastAsia"/>
          <w:sz w:val="32"/>
          <w:szCs w:val="32"/>
        </w:rPr>
        <w:t>万元，包括公务用车购置费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  </w:t>
      </w:r>
      <w:r>
        <w:rPr>
          <w:rFonts w:ascii="仿宋" w:hAnsi="仿宋" w:eastAsia="仿宋" w:hint="eastAsia"/>
          <w:sz w:val="32"/>
          <w:szCs w:val="32"/>
        </w:rPr>
        <w:t>万元和公务用车运行费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7.5 </w:t>
      </w:r>
      <w:r>
        <w:rPr>
          <w:rFonts w:ascii="仿宋" w:hAnsi="仿宋" w:eastAsia="仿宋" w:hint="eastAsia"/>
          <w:sz w:val="32"/>
          <w:szCs w:val="32"/>
        </w:rPr>
        <w:t>万元，比2016年预算数增加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 </w:t>
      </w:r>
      <w:r>
        <w:rPr>
          <w:rFonts w:ascii="仿宋" w:hAnsi="仿宋" w:eastAsia="仿宋" w:hint="eastAsia"/>
          <w:sz w:val="32"/>
          <w:szCs w:val="32"/>
        </w:rPr>
        <w:t>万元，主要原因是：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</w:t>
      </w:r>
      <w:r>
        <w:rPr>
          <w:rFonts w:eastAsia="SimSun"/>
          <w:color w:val="333333"/>
          <w:sz w:val="32"/>
          <w:szCs w:val="32"/>
          <w:u w:color="auto" w:val="single"/>
          <w:lang w:val="en-us" w:eastAsia="zh-cn" w:bidi="ar-sa"/>
        </w:rPr>
        <w:t>公车改革政策的实行及控制各项支出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 </w:t>
      </w:r>
      <w:r>
        <w:rPr>
          <w:rFonts w:ascii="仿宋" w:hAnsi="仿宋" w:eastAsia="仿宋" w:hint="eastAsia"/>
          <w:sz w:val="32"/>
          <w:szCs w:val="32"/>
        </w:rPr>
        <w:t>；公务接待费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0  </w:t>
      </w:r>
      <w:r>
        <w:rPr>
          <w:rFonts w:ascii="仿宋" w:hAnsi="仿宋" w:eastAsia="仿宋" w:hint="eastAsia"/>
          <w:sz w:val="32"/>
          <w:szCs w:val="32"/>
        </w:rPr>
        <w:t>万元，比2016年预算数增加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0  </w:t>
      </w:r>
      <w:r>
        <w:rPr>
          <w:rFonts w:ascii="仿宋" w:hAnsi="仿宋" w:eastAsia="仿宋" w:hint="eastAsia"/>
          <w:sz w:val="32"/>
          <w:szCs w:val="32"/>
        </w:rPr>
        <w:t>万元，主要原因是：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</w:t>
      </w:r>
      <w:r>
        <w:rPr>
          <w:rFonts w:eastAsia="SimSun"/>
          <w:color w:val="333333"/>
          <w:sz w:val="32"/>
          <w:szCs w:val="32"/>
          <w:u w:color="auto" w:val="single"/>
          <w:lang w:val="en-us" w:eastAsia="zh-cn" w:bidi="ar-sa"/>
        </w:rPr>
        <w:t>年度预算没有公务接待费用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  </w:t>
      </w:r>
      <w:r>
        <w:rPr>
          <w:rFonts w:ascii="仿宋" w:hAnsi="仿宋" w:eastAsia="仿宋" w:hint="eastAsia"/>
          <w:sz w:val="32"/>
          <w:szCs w:val="32"/>
        </w:rPr>
        <w:t>。</w:t>
      </w:r>
      <w:r>
        <w:rPr>
          <w:rFonts w:ascii="仿宋" w:hAnsi="仿宋" w:eastAsia="仿宋"/>
          <w:sz w:val="32"/>
          <w:szCs w:val="32"/>
          <w:u w:color="auto" w:val="single"/>
        </w:rPr>
      </w:r>
    </w:p>
    <w:p>
      <w:pPr>
        <w:ind w:left="-141" w:right="-59" w:firstLine="602"/>
        <w:spacing w:line="348" w:lineRule="auto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>（二） 机关运行经费预算说明</w:t>
      </w:r>
      <w:r>
        <w:rPr>
          <w:rFonts w:ascii="仿宋" w:hAnsi="仿宋" w:eastAsia="仿宋"/>
          <w:b/>
          <w:sz w:val="32"/>
          <w:szCs w:val="32"/>
        </w:rPr>
      </w:r>
    </w:p>
    <w:p>
      <w:pPr>
        <w:ind w:left="-141" w:right="-59" w:firstLine="602"/>
        <w:spacing w:line="348" w:lineRule="auto"/>
        <w:rPr>
          <w:rFonts w:eastAsia="SimSun" w:hint="eastAsia"/>
          <w:sz w:val="20"/>
          <w:szCs w:val="20"/>
          <w:lang w:val="en-us" w:eastAsia="zh-cn" w:bidi="ar-sa"/>
        </w:rPr>
      </w:pPr>
      <w:r>
        <w:rPr>
          <w:rFonts w:ascii="仿宋" w:hAnsi="仿宋" w:eastAsia="仿宋" w:hint="eastAsia"/>
          <w:sz w:val="32"/>
          <w:szCs w:val="32"/>
        </w:rPr>
        <w:t>2017年本部门的机关运行经费财政拨款预算11.05万元 ，比2016年增加0万元，增长0%。主要原因是：</w:t>
      </w:r>
      <w:r>
        <w:rPr>
          <w:rFonts w:ascii="仿宋" w:hAnsi="仿宋" w:eastAsia="仿宋" w:hint="eastAsia"/>
          <w:sz w:val="32"/>
          <w:szCs w:val="32"/>
          <w:u w:color="auto" w:val="single"/>
        </w:rPr>
        <w:t xml:space="preserve"> </w:t>
      </w:r>
      <w:r>
        <w:rPr>
          <w:rFonts w:eastAsia="SimSun"/>
          <w:color w:val="333333"/>
          <w:sz w:val="32"/>
          <w:szCs w:val="32"/>
          <w:u w:color="auto" w:val="single"/>
          <w:lang w:val="en-us" w:eastAsia="zh-cn" w:bidi="ar-sa"/>
        </w:rPr>
        <w:t>严格执行只减不增</w:t>
      </w:r>
      <w:r>
        <w:rPr>
          <w:rFonts w:eastAsia="SimSun" w:hint="eastAsia"/>
          <w:sz w:val="20"/>
          <w:szCs w:val="20"/>
          <w:lang w:val="en-us" w:eastAsia="zh-cn" w:bidi="ar-sa"/>
        </w:rPr>
        <w:t>。</w:t>
      </w:r>
    </w:p>
    <w:p>
      <w:pPr>
        <w:ind w:left="-141" w:right="-59" w:firstLine="602"/>
        <w:spacing w:line="348" w:lineRule="auto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>（三） 关于政府采购预算说明</w:t>
      </w:r>
      <w:r>
        <w:rPr>
          <w:rFonts w:ascii="仿宋" w:hAnsi="仿宋" w:eastAsia="仿宋"/>
          <w:b/>
          <w:sz w:val="32"/>
          <w:szCs w:val="32"/>
        </w:rPr>
      </w:r>
    </w:p>
    <w:p>
      <w:pPr>
        <w:ind w:left="-141" w:right="-59" w:firstLine="602"/>
        <w:spacing w:line="348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2017年本部门各单位政府采购预算总额0万元，其中：政府采购货物预算0万元、政府采购工程预算0万元、政府采购服务预算0万元。</w:t>
      </w:r>
      <w:r>
        <w:rPr>
          <w:rFonts w:ascii="仿宋" w:hAnsi="仿宋" w:eastAsia="仿宋"/>
          <w:sz w:val="32"/>
          <w:szCs w:val="32"/>
        </w:rPr>
      </w:r>
    </w:p>
    <w:p>
      <w:pPr>
        <w:ind w:left="-141" w:right="-59" w:firstLine="602"/>
        <w:spacing w:line="348" w:lineRule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</w:r>
    </w:p>
    <w:p>
      <w:pPr>
        <w:spacing/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>第三部分   专业名词解释</w:t>
      </w:r>
      <w:r>
        <w:rPr>
          <w:rFonts w:ascii="仿宋" w:hAnsi="仿宋" w:eastAsia="仿宋"/>
          <w:b/>
          <w:sz w:val="32"/>
          <w:szCs w:val="32"/>
        </w:rPr>
      </w:r>
    </w:p>
    <w:p>
      <w:pPr>
        <w:spacing/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/>
          <w:b/>
          <w:sz w:val="32"/>
          <w:szCs w:val="32"/>
        </w:rPr>
      </w:r>
    </w:p>
    <w:p>
      <w:pPr>
        <w:ind w:left="-185" w:right="-315" w:firstLine="640"/>
        <w:spacing w:line="580" w:lineRule="exac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财政拨款收入：是指一般公共预算和政府性基金的拨款；</w:t>
      </w:r>
      <w:r>
        <w:rPr>
          <w:rFonts w:ascii="仿宋" w:hAnsi="仿宋" w:eastAsia="仿宋"/>
          <w:sz w:val="32"/>
          <w:szCs w:val="32"/>
        </w:rPr>
      </w:r>
    </w:p>
    <w:p>
      <w:pPr>
        <w:ind w:left="-185" w:right="-315" w:firstLine="640"/>
        <w:spacing w:line="580" w:lineRule="exac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财政拨款支出：是指使用一般公共预算和政府性基金拨款的支出；</w:t>
      </w:r>
      <w:r>
        <w:rPr>
          <w:rFonts w:ascii="仿宋" w:hAnsi="仿宋" w:eastAsia="仿宋"/>
          <w:sz w:val="32"/>
          <w:szCs w:val="32"/>
        </w:rPr>
      </w:r>
    </w:p>
    <w:p>
      <w:pPr>
        <w:ind w:left="-185" w:right="-311" w:firstLine="640"/>
        <w:spacing w:line="580" w:lineRule="exac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“三公”经费支出：是指因公出国（境）经费、公务用车购置及运行维护费和公务接待费。其中：因公出国（境）经费是指行政单位、事业单位工作人员公务出国（境）的住宿费、旅费、伙食补助费、杂费、培训费等支出；公务用车购置及运行维护费指行政单位、事业单位公务用车购置费、公务用车租用费、燃料费、维修费、过桥过路费、保险费等支出；公务接待费指行政单位、事业单位按规定开支的各项公务接待（外宾接待）费用；</w:t>
      </w:r>
      <w:r>
        <w:rPr>
          <w:rFonts w:ascii="仿宋" w:hAnsi="仿宋" w:eastAsia="仿宋"/>
          <w:sz w:val="32"/>
          <w:szCs w:val="32"/>
        </w:rPr>
      </w:r>
    </w:p>
    <w:p>
      <w:pPr>
        <w:ind w:left="-185" w:right="-315" w:firstLine="640"/>
        <w:spacing w:line="580" w:lineRule="exac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hint="eastAsia"/>
          <w:sz w:val="32"/>
          <w:szCs w:val="32"/>
        </w:rPr>
        <w:t>机关运行经费支出：是指为保障机关运行，用于购买货物和服务的各项资金。</w:t>
      </w:r>
      <w:r>
        <w:rPr>
          <w:rFonts w:ascii="仿宋" w:hAnsi="仿宋" w:eastAsia="仿宋"/>
          <w:sz w:val="32"/>
          <w:szCs w:val="32"/>
        </w:rPr>
      </w:r>
    </w:p>
    <w:p>
      <w:pPr>
        <w:spacing w:line="360" w:lineRule="auto"/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/>
          <w:b/>
          <w:sz w:val="32"/>
          <w:szCs w:val="32"/>
        </w:rPr>
      </w:r>
    </w:p>
    <w:p>
      <w:pPr>
        <w:spacing w:line="360" w:lineRule="auto"/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/>
          <w:b/>
          <w:sz w:val="32"/>
          <w:szCs w:val="32"/>
        </w:rPr>
      </w:r>
    </w:p>
    <w:p>
      <w:pPr>
        <w:spacing w:line="360" w:lineRule="auto"/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ascii="仿宋" w:hAnsi="仿宋" w:eastAsia="仿宋" w:hint="eastAsia"/>
          <w:b/>
          <w:sz w:val="32"/>
          <w:szCs w:val="32"/>
        </w:rPr>
        <w:t>第四部分 潮阳区政协办公室2017年部门预算表</w:t>
      </w:r>
      <w:r>
        <w:rPr>
          <w:rFonts w:ascii="仿宋" w:hAnsi="仿宋" w:eastAsia="仿宋"/>
          <w:b/>
          <w:sz w:val="32"/>
          <w:szCs w:val="32"/>
        </w:rPr>
      </w:r>
    </w:p>
    <w:sectPr>
      <w:footnotePr>
        <w:pos w:val="pageBottom"/>
        <w:numFmt w:val="decimal"/>
        <w:numStart w:val="1"/>
        <w:numRestart w:val="continuous"/>
      </w:footnotePr>
      <w:endnotePr>
        <w:pos w:val="docEnd"/>
        <w:numFmt w:val="decimal"/>
        <w:numStart w:val="1"/>
        <w:numRestart w:val="continuous"/>
      </w:endnotePr>
      <w:headerReference w:type="default" r:id="rId8"/>
      <w:footerReference w:type="default" r:id="rId9"/>
      <w:type w:val="nextPage"/>
      <w:pgSz w:h="16838" w:w="11906"/>
      <w:pgMar w:left="1800" w:top="1440" w:right="1800" w:bottom="1440" w:header="851" w:footer="992"/>
      <w:paperSrc w:first="0" w:other="0"/>
      <w:tmSection w:h="-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default"/>
  </w:font>
  <w:font w:name="SimSun">
    <w:panose1 w:val="02010600030101010101"/>
    <w:charset w:val="00"/>
    <w:family w:val="auto"/>
    <w:pitch w:val="default"/>
  </w:font>
  <w:font w:name="Arial">
    <w:panose1 w:val="020B0604020202020204"/>
    <w:charset w:val="00"/>
    <w:family w:val="swiss"/>
    <w:pitch w:val="default"/>
  </w:font>
  <w:font w:name="宋体">
    <w:panose1 w:val="02010600030101010101"/>
    <w:charset w:val="86"/>
    <w:family w:val="auto"/>
    <w:pitch w:val="default"/>
  </w:font>
  <w:font w:name="黑体">
    <w:panose1 w:val="02010600030101010101"/>
    <w:charset w:val="86"/>
    <w:family w:val="modern"/>
    <w:pitch w:val="default"/>
  </w:font>
  <w:font w:name="仿宋">
    <w:panose1 w:val="02010609030101010101"/>
    <w:charset w:val="86"/>
    <w:family w:val="modern"/>
    <w:pitch w:val="default"/>
  </w:font>
  <w:font w:name="仿宋_GB2312">
    <w:panose1 w:val="02010609030101010101"/>
    <w:charset w:val="86"/>
    <w:family w:val="modern"/>
    <w:pitch w:val="default"/>
  </w:font>
  <w:font w:name="Cambria">
    <w:panose1 w:val="02040503050406030204"/>
    <w:charset w:val="00"/>
    <w:family w:val="roman"/>
    <w:pitch w:val="default"/>
  </w:font>
  <w:font w:name="Calibri">
    <w:panose1 w:val="020F0502020204030204"/>
    <w:charset w:val="00"/>
    <w:family w:val="swiss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"/>
    </w:pPr>
    <w:r>
      <w:rPr>
        <w:noProof/>
      </w:rPr>
      <mc:AlternateContent>
        <mc:Choice Requires="wps">
          <w:drawing>
            <wp:anchor distT="0" distB="0" distL="0" distR="0" simplePos="0" relativeHeight="251658242" behindDoc="0" locked="0" layoutInCell="0" hidden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14300" cy="131445"/>
              <wp:effectExtent l="0" t="0" r="0" b="0"/>
              <wp:wrapSquare wrapText="bothSides"/>
              <wp:docPr id="2" name="文本框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extLst>
                        <a:ext uri="smNativeData">
                          <sm:smNativeData xmlns:sm="smo" val="SMDATA_11_okUMWRMAAAAlAAAAEgAAAE0AAAAAAAAAAAAAAAAAAAAAAAAAAAAAAAAAAAAAAAAAAAEAAABQAAAAAAAAAAAA4D8AAAAAAADgPwAAAAAAAOA/AAAAAAAA4D8AAAAAAADgPwAAAAAAAOA/AAAAAAAA4D8AAAAAAADgPwAAAAAAAOA/AAAAAAAA4D8CAAAAjAAAAAAAAAAAAAAA////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AAAAAByIAAAhjYAAAACAAAJAAAABAAAAAAAAAAMAAAAEAAAAAAAAAAAAAAAAAAAAAAAAAAeAAAAaAAAAAAAAAAAAAAAAAAAAAAAAAAAAAAAECcAABAnAAAAAAAAAAAAAAAAAAAAAAAAAAAAAAAAAAAAAAAAAAAAABQAAAAAAAAAwMD/AAAAAABkAAAAMgAAAAAAAABkAAAAAAAAAH9/fwAKAAAAIQAAAEAAAAA8AAAAAAAAAJDiAABAAAAAAAAAAAIAAAABAAAAAAAAAAEAAAACAAAAAQAAALQAAADPAAAAAAAAAOcWAAAYPQAA"/>
                        </a:ext>
                      </a:extLst>
                    </wps:cNvSpPr>
                    <wps:spPr>
                      <a:xfrm>
                        <a:off x="0" y="0"/>
                        <a:ext cx="114300" cy="131445"/>
                      </a:xfrm>
                      <a:prstGeom prst="rect">
                        <a:avLst/>
                      </a:prstGeom>
                      <a:noFill/>
                      <a:ln w="1270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"/>
                            <w:rPr>
                              <w:rStyle w:val=""/>
                            </w:rPr>
                          </w:pPr>
                          <w:r>
                            <w:rPr>
                              <w:rStyle w:val=""/>
                            </w:rPr>
                            <w:fldChar w:fldCharType="begin"/>
                            <w:instrText xml:space="preserve"> PAGE \* Arabic </w:instrText>
                            <w:fldChar w:fldCharType="separate"/>
                            <w:t>5</w:t>
                            <w:fldChar w:fldCharType="end"/>
                          </w:r>
                          <w:r>
                            <w:rPr>
                              <w:rStyle w:val=""/>
                            </w:rPr>
                          </w:r>
                        </w:p>
                      </w:txbxContent>
                    </wps:txbx>
                    <wps:bodyPr spcFirstLastPara="1" vertOverflow="clip" horzOverflow="clip" wrap="none" lIns="0" tIns="0" rIns="0" bIns="0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path gradientshapeok="t" o:connecttype="rect"/>
            </v:shapetype>
            <v:shape id="文本框2" o:spid="_x0000_s3073" type="#_x0000_t202" style="position:absolute;mso-position-horizontal:center;margin-top:0.05pt;mso-position-horizontal-relative:margin;width:9.00pt;height:10.35pt;mso-wrap-distance-left:0.00pt;mso-wrap-distance-top:0.00pt;mso-wrap-distance-right:0.00pt;mso-wrap-distance-bottom:0.00pt;mso-wrap-style:none" stroked="f" filled="f" v:ext="SMDATA_11_okUMWRMAAAAlAAAAEgAAAE0AAAAAAAAAAAAAAAAAAAAAAAAAAAAAAAAAAAAAAAAAAAEAAABQAAAAAAAAAAAA4D8AAAAAAADgPwAAAAAAAOA/AAAAAAAA4D8AAAAAAADgPwAAAAAAAOA/AAAAAAAA4D8AAAAAAADgPwAAAAAAAOA/AAAAAAAA4D8CAAAAjAAAAAAAAAAAAAAA////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AAAAAByIAAAhjYAAAACAAAJAAAABAAAAAAAAAAMAAAAEAAAAAAAAAAAAAAAAAAAAAAAAAAeAAAAaAAAAAAAAAAAAAAAAAAAAAAAAAAAAAAAECcAABAnAAAAAAAAAAAAAAAAAAAAAAAAAAAAAAAAAAAAAAAAAAAAABQAAAAAAAAAwMD/AAAAAABkAAAAMgAAAAAAAABkAAAAAAAAAH9/fwAKAAAAIQAAAEAAAAA8AAAAAAAAAJDiAABAAAAAAAAAAAIAAAABAAAAAAAAAAEAAAACAAAAAQAAALQAAADPAAAAAAAAAOcWAAAYPQAA" o:insetmode="custom">
              <w10:wrap type="square" anchorx="margin" anchory="text"/>
              <v:textbox style="mso-fit-shape-to-text:t" inset="0.0pt,0.0pt,0.0pt,0.0pt">
                <w:txbxContent>
                  <w:p>
                    <w:pPr>
                      <w:pStyle w:val=""/>
                      <w:rPr>
                        <w:rStyle w:val=""/>
                      </w:rPr>
                    </w:pPr>
                    <w:r>
                      <w:rPr>
                        <w:rStyle w:val=""/>
                      </w:rPr>
                      <w:fldChar w:fldCharType="begin"/>
                      <w:instrText xml:space="preserve"> PAGE \* Arabic </w:instrText>
                      <w:fldChar w:fldCharType="separate"/>
                      <w:t>5</w:t>
                      <w:fldChar w:fldCharType="end"/>
                    </w:r>
                    <w:r>
                      <w:rPr>
                        <w:rStyle w:val=""/>
                      </w:rPr>
                    </w:r>
                  </w:p>
                </w:txbxContent>
              </v:textbox>
            </v:shape>
          </w:pict>
        </mc:Fallback>
      </mc:AlternateContent>
    </w:r>
    <w:r>
      <w:rPr>
        <w:rStyle w:val=""/>
      </w:rPr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"/>
      <w:pBdr>
        <w:top w:val="none" w:sz="0" w:space="3" w:color="000000"/>
        <w:left w:val="none" w:sz="0" w:space="3" w:color="000000"/>
        <w:bottom w:val="none" w:sz="0" w:space="0" w:color="000000"/>
        <w:right w:val="none" w:sz="0" w:space="3" w:color="000000"/>
        <w:between w:val="none" w:sz="0" w:space="0" w:color="000000"/>
      </w:pBdr>
      <w:shd w:val="none"/>
    </w:pP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multilevel"/>
    <w:lvl w:ilvl="0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1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2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3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4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5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6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7">
      <w:numFmt w:val="none"/>
      <w:lvlText w:val=""/>
      <w:lvlJc w:val="left"/>
      <w:pPr>
        <w:tabs>
          <w:tab w:val="num" w:pos="360"/>
        </w:tabs>
        <w:ind w:left="360" w:hanging="360"/>
      </w:pPr>
      <w:rPr/>
    </w:lvl>
    <w:lvl w:ilvl="8">
      <w:numFmt w:val="none"/>
      <w:lvlText w:val=""/>
      <w:lvlJc w:val="left"/>
      <w:pPr>
        <w:tabs>
          <w:tab w:val="num" w:pos="360"/>
        </w:tabs>
        <w:ind w:left="360" w:hanging="360"/>
      </w:pPr>
      <w:rPr/>
    </w:lvl>
  </w:abstractNum>
  <w:abstractNum w:abstractNumId="1">
    <w:multiLevelType w:val="multilevel"/>
    <w:name w:val="编号列表 1"/>
    <w:lvl w:ilvl="0">
      <w:start w:val="1"/>
      <w:numFmt w:val="japaneseCounting"/>
      <w:suff w:val="tab"/>
      <w:lvlText w:val="%1¡"/>
      <w:lvlJc w:val="left"/>
      <w:pPr>
        <w:ind w:left="1080" w:hanging="0"/>
      </w:pPr>
      <w:rPr>
        <w:rPr>
          <w:b w:val="0"/>
          <w:kern w:val="1"/>
        </w:rPr>
      </w:rPr>
    </w:lvl>
    <w:lvl w:ilvl="1">
      <w:start w:val="1"/>
      <w:numFmt w:val="japaneseCounting"/>
      <w:suff w:val="tab"/>
      <w:lvlText w:val="£¨%2"/>
      <w:lvlJc w:val="left"/>
      <w:pPr>
        <w:ind w:left="855" w:hanging="0"/>
      </w:pPr>
      <w:rPr>
        <w:rPr>
          <w:b w:val="0"/>
          <w:kern w:val="1"/>
        </w:rPr>
      </w:rPr>
    </w:lvl>
    <w:lvl w:ilvl="2">
      <w:start w:val="1"/>
      <w:numFmt w:val="lowerRoman"/>
      <w:suff w:val="tab"/>
      <w:lvlText w:val="%3."/>
      <w:lvlJc w:val="left"/>
      <w:pPr>
        <w:ind w:left="1275" w:hanging="0"/>
      </w:pPr>
      <w:rPr>
        <w:rPr>
          <w:b w:val="0"/>
          <w:kern w:val="1"/>
        </w:rPr>
      </w:rPr>
    </w:lvl>
    <w:lvl w:ilvl="3">
      <w:start w:val="1"/>
      <w:numFmt w:val="decimal"/>
      <w:suff w:val="tab"/>
      <w:lvlText w:val="%4."/>
      <w:lvlJc w:val="left"/>
      <w:pPr>
        <w:ind w:left="1695" w:hanging="0"/>
      </w:pPr>
      <w:rPr>
        <w:rPr>
          <w:b w:val="0"/>
          <w:kern w:val="1"/>
        </w:rPr>
      </w:rPr>
    </w:lvl>
    <w:lvl w:ilvl="4">
      <w:start w:val="1"/>
      <w:numFmt w:val="lowerLetter"/>
      <w:suff w:val="tab"/>
      <w:lvlText w:val="%5)"/>
      <w:lvlJc w:val="left"/>
      <w:pPr>
        <w:ind w:left="2115" w:hanging="0"/>
      </w:pPr>
      <w:rPr>
        <w:rPr>
          <w:b w:val="0"/>
          <w:kern w:val="1"/>
        </w:rPr>
      </w:rPr>
    </w:lvl>
    <w:lvl w:ilvl="5">
      <w:start w:val="1"/>
      <w:numFmt w:val="lowerRoman"/>
      <w:suff w:val="tab"/>
      <w:lvlText w:val="%6."/>
      <w:lvlJc w:val="left"/>
      <w:pPr>
        <w:ind w:left="2535" w:hanging="0"/>
      </w:pPr>
      <w:rPr>
        <w:rPr>
          <w:b w:val="0"/>
          <w:kern w:val="1"/>
        </w:rPr>
      </w:rPr>
    </w:lvl>
    <w:lvl w:ilvl="6">
      <w:start w:val="1"/>
      <w:numFmt w:val="decimal"/>
      <w:suff w:val="tab"/>
      <w:lvlText w:val="%7."/>
      <w:lvlJc w:val="left"/>
      <w:pPr>
        <w:ind w:left="2955" w:hanging="0"/>
      </w:pPr>
      <w:rPr>
        <w:rPr>
          <w:b w:val="0"/>
          <w:kern w:val="1"/>
        </w:rPr>
      </w:rPr>
    </w:lvl>
    <w:lvl w:ilvl="7">
      <w:start w:val="1"/>
      <w:numFmt w:val="lowerLetter"/>
      <w:suff w:val="tab"/>
      <w:lvlText w:val="%8)"/>
      <w:lvlJc w:val="left"/>
      <w:pPr>
        <w:ind w:left="3375" w:hanging="0"/>
      </w:pPr>
      <w:rPr>
        <w:rPr>
          <w:b w:val="0"/>
          <w:kern w:val="1"/>
        </w:rPr>
      </w:rPr>
    </w:lvl>
    <w:lvl w:ilvl="8">
      <w:start w:val="1"/>
      <w:numFmt w:val="lowerRoman"/>
      <w:suff w:val="tab"/>
      <w:lvlText w:val="%9."/>
      <w:lvlJc w:val="left"/>
      <w:pPr>
        <w:ind w:left="3795" w:hanging="0"/>
      </w:pPr>
      <w:rPr>
        <w:rPr>
          <w:b w:val="0"/>
          <w:kern w:val="1"/>
        </w:rPr>
      </w:rPr>
    </w:lvl>
  </w:abstractNum>
  <w:abstractNum w:abstractNumId="2">
    <w:multiLevelType w:val="singleLevel"/>
    <w:name w:val="Bullet 2"/>
    <w:lvl w:ilvl="0">
      <w:start w:val="1"/>
      <w:numFmt w:val="japaneseCounting"/>
      <w:lvlText w:val="%1"/>
      <w:lvlJc w:val="left"/>
      <w:pPr>
        <w:tabs>
          <w:tab w:val="num" w:pos="0"/>
        </w:tabs>
        <w:ind w:left="0" w:hanging="0"/>
      </w:pPr>
      <w:rPr>
        <w:rPr>
          <w:b w:val="0"/>
          <w:kern w:val="1"/>
        </w:rPr>
      </w:rPr>
    </w:lvl>
  </w:abstractNum>
  <w:abstractNum w:abstractNumId="3">
    <w:multiLevelType w:val="singleLevel"/>
    <w:name w:val="Bullet 3"/>
    <w:lvl w:ilvl="0">
      <w:start w:val="1"/>
      <w:numFmt w:val="lowerRoman"/>
      <w:lvlText w:val="%1"/>
      <w:lvlJc w:val="left"/>
      <w:pPr>
        <w:tabs>
          <w:tab w:val="num" w:pos="0"/>
        </w:tabs>
        <w:ind w:left="0" w:hanging="0"/>
      </w:pPr>
      <w:rPr>
        <w:rPr>
          <w:b w:val="0"/>
          <w:kern w:val="1"/>
        </w:rPr>
      </w:rPr>
    </w:lvl>
  </w:abstractNum>
  <w:abstractNum w:abstractNumId="4">
    <w:multiLevelType w:val="singleLevel"/>
    <w:name w:val="Bullet 4"/>
    <w:lvl w:ilvl="0">
      <w:start w:val="1"/>
      <w:numFmt w:val="decimal"/>
      <w:lvlText w:val="%1"/>
      <w:lvlJc w:val="left"/>
      <w:pPr>
        <w:tabs>
          <w:tab w:val="num" w:pos="0"/>
        </w:tabs>
        <w:ind w:left="0" w:hanging="0"/>
      </w:pPr>
      <w:rPr>
        <w:rPr>
          <w:b w:val="0"/>
          <w:kern w:val="1"/>
        </w:rPr>
      </w:rPr>
    </w:lvl>
  </w:abstractNum>
  <w:abstractNum w:abstractNumId="5">
    <w:multiLevelType w:val="singleLevel"/>
    <w:name w:val="Bullet 5"/>
    <w:lvl w:ilvl="0">
      <w:start w:val="1"/>
      <w:numFmt w:val="lowerLetter"/>
      <w:lvlText w:val="%1"/>
      <w:lvlJc w:val="left"/>
      <w:pPr>
        <w:tabs>
          <w:tab w:val="num" w:pos="0"/>
        </w:tabs>
        <w:ind w:left="0" w:hanging="0"/>
      </w:pPr>
      <w:rPr>
        <w:rPr>
          <w:b w:val="0"/>
          <w:kern w:val="1"/>
        </w:rPr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view w:val="print"/>
  <w:defaultTabStop w:val="420"/>
  <w:autoHyphenation w:val="0"/>
  <w:doNotShadeFormData w:val="0"/>
  <w:captions>
    <w:caption w:name="表格" w:pos="below" w:numFmt="decimal"/>
    <w:caption w:name="图解" w:pos="below" w:numFmt="decimal"/>
    <w:caption w:name="图片" w:pos="below" w:numFmt="decimal"/>
  </w:captions>
  <w:drawingGridHorizontalSpacing w:val="18546688"/>
  <w:drawingGridVerticalSpacing w:val="156"/>
  <w:revisionView w:comments="1" w:markup="1" w:insDel="1" w:formatting="1"/>
  <w:footnotePr>
    <w:pos w:val="pageBottom"/>
    <w:numFmt w:val="decimal"/>
    <w:numStart w:val="1"/>
    <w:numRestart w:val="continuous"/>
  </w:footnotePr>
  <w:endnotePr>
    <w:pos w:val="docEnd"/>
    <w:numFmt w:val="decimal"/>
    <w:numStart w:val="1"/>
    <w:numRestart w:val="continuous"/>
  </w:endnotePr>
  <w:compat>
    <w:doNotExpandShiftReturn w:val="1"/>
  </w:compat>
  <w:shapeDefaults>
    <o:shapedefaults v:ext="edit" spidmax="3074"/>
    <o:shapelayout v:ext="edit">
      <o:rules v:ext="edit"/>
    </o:shapelayout>
  </w:shapeDefaults>
  <w:tmPrefOne w:val="17"/>
  <w:tmPrefTwo w:val="1"/>
  <w:tmFmtPref w:val="55066091"/>
  <w:tmCommentsPr>
    <w:tmCommentsPlace w:val="0"/>
    <w:tmCommentsWidth w:val="3119"/>
    <w:tmCommentsColor w:val="-1"/>
  </w:tmCommentsPr>
  <w:tmReviewPr>
    <w:tmReviewEnabled w:val="0"/>
    <w:tmReviewShow w:val="1"/>
    <w:tmReviewPrint w:val="0"/>
    <w:tmRevisionNum w:val="6"/>
    <w:tmReviewMarkIns w:val="4"/>
    <w:tmReviewColorIns w:val="-1"/>
    <w:tmReviewMarkDel w:val="6"/>
    <w:tmReviewColorDel w:val="-1"/>
    <w:tmReviewMarkFmt w:val="1"/>
    <w:tmReviewColorFmt w:val="-1"/>
    <w:tmReviewMarkLn w:val="1"/>
    <w:tmReviewColorLn w:val="0"/>
    <w:tmReviewToolTip w:val="1"/>
  </w:tmReviewPr>
  <w:tmLastPos>
    <w:tmLastPosPage w:val="4"/>
    <w:tmLastPosSelect w:val="0"/>
    <w:tmLastPosFrameIdx w:val="0"/>
    <w:tmLastPosCaret>
      <w:tmLastPosPgfIdx w:val="63"/>
      <w:tmLastPosIdx w:val="23"/>
    </w:tmLastPosCaret>
    <w:tmLastPosAnchor>
      <w:tmLastPosPgfIdx w:val="0"/>
      <w:tmLastPosIdx w:val="0"/>
    </w:tmLastPosAnchor>
    <w:tmLastPosTblRect w:left="0" w:top="0" w:right="0" w:bottom="0"/>
    <w:tmAppRevision w:date="1493976482" w:val="694"/>
  </w:tmLastPo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hAnsi="Times New Roman" w:eastAsia="宋体" w:cs="Times New Roman"/>
        <w:kern w:val="1"/>
        <w:sz w:val="21"/>
        <w:szCs w:val="24"/>
        <w:lang w:val="en-us" w:eastAsia="zh-cn" w:bidi="ar-sa"/>
      </w:rPr>
    </w:rPrDefault>
    <w:pPrDefault>
      <w:pPr>
        <w:spacing/>
        <w:jc w:val="both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</w:latentStyles>
  <w:style w:type="paragraph" w:styleId="" w:default="1">
    <w:name w:val="Normal"/>
    <w:qFormat/>
  </w:style>
  <w:style w:type="paragraph" w:styleId="">
    <w:name w:val="Date"/>
    <w:qFormat/>
    <w:basedOn w:val=""/>
    <w:next w:val=""/>
    <w:pPr>
      <w:ind w:left="100"/>
    </w:pPr>
  </w:style>
  <w:style w:type="paragraph" w:styleId="">
    <w:name w:val="Footer"/>
    <w:qFormat/>
    <w:basedOn w:val=""/>
    <w:pPr>
      <w:spacing/>
      <w:jc w:val="left"/>
      <w:tabs>
        <w:tab w:val="center" w:pos="4153" w:leader="none"/>
        <w:tab w:val="right" w:pos="8306" w:leader="none"/>
      </w:tabs>
    </w:pPr>
    <w:rPr>
      <w:sz w:val="18"/>
      <w:szCs w:val="18"/>
    </w:rPr>
  </w:style>
  <w:style w:type="paragraph" w:styleId="">
    <w:name w:val="Header"/>
    <w:qFormat/>
    <w:basedOn w:val=""/>
    <w:pPr>
      <w:spacing/>
      <w:jc w:val="center"/>
      <w:tabs>
        <w:tab w:val="center" w:pos="4153" w:leader="none"/>
        <w:tab w:val="right" w:pos="8306" w:leader="none"/>
      </w:tabs>
      <w:pBdr>
        <w:top w:val="none" w:sz="0" w:space="3" w:color="000000"/>
        <w:left w:val="none" w:sz="0" w:space="3" w:color="000000"/>
        <w:bottom w:val="single" w:sz="6" w:space="1" w:color="000000"/>
        <w:right w:val="none" w:sz="0" w:space="3" w:color="000000"/>
        <w:between w:val="none" w:sz="0" w:space="0" w:color="000000"/>
      </w:pBdr>
      <w:shd w:val="none"/>
    </w:pPr>
    <w:rPr>
      <w:sz w:val="18"/>
      <w:szCs w:val="18"/>
    </w:rPr>
  </w:style>
  <w:style w:type="character" w:styleId="" w:default="1">
    <w:name w:val="Default Paragraph Font"/>
    <w:rPr>
      <w:kern w:val="0"/>
      <w:sz w:val="20"/>
      <w:szCs w:val="20"/>
    </w:rPr>
  </w:style>
  <w:style w:type="character" w:styleId="">
    <w:name w:val="Page Number"/>
    <w:basedOn w:val=""/>
  </w:style>
  <w:style w:type="character" w:styleId="Char" w:customStyle="1">
    <w:name w:val="页眉 Char"/>
    <w:basedOn w:val=""/>
    <w:rPr>
      <w:kern w:val="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">
  <w:docDefaults>
    <w:rPrDefault>
      <w:rPr>
        <w:rFonts w:ascii="Times New Roman" w:hAnsi="Times New Roman" w:eastAsia="宋体" w:cs="Times New Roman"/>
        <w:kern w:val="1"/>
        <w:sz w:val="21"/>
        <w:szCs w:val="24"/>
        <w:lang w:val="en-us" w:eastAsia="zh-cn" w:bidi="ar-sa"/>
      </w:rPr>
    </w:rPrDefault>
    <w:pPrDefault>
      <w:pPr>
        <w:spacing/>
        <w:jc w:val="both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</w:latentStyles>
  <w:style w:type="paragraph" w:styleId="" w:default="1">
    <w:name w:val="Normal"/>
    <w:qFormat/>
  </w:style>
  <w:style w:type="paragraph" w:styleId="">
    <w:name w:val="Date"/>
    <w:qFormat/>
    <w:basedOn w:val=""/>
    <w:next w:val=""/>
    <w:pPr>
      <w:ind w:left="100"/>
    </w:pPr>
  </w:style>
  <w:style w:type="paragraph" w:styleId="">
    <w:name w:val="Footer"/>
    <w:qFormat/>
    <w:basedOn w:val=""/>
    <w:pPr>
      <w:spacing/>
      <w:jc w:val="left"/>
      <w:tabs>
        <w:tab w:val="center" w:pos="4153" w:leader="none"/>
        <w:tab w:val="right" w:pos="8306" w:leader="none"/>
      </w:tabs>
    </w:pPr>
    <w:rPr>
      <w:sz w:val="18"/>
      <w:szCs w:val="18"/>
    </w:rPr>
  </w:style>
  <w:style w:type="paragraph" w:styleId="">
    <w:name w:val="Header"/>
    <w:qFormat/>
    <w:basedOn w:val=""/>
    <w:pPr>
      <w:spacing/>
      <w:jc w:val="center"/>
      <w:tabs>
        <w:tab w:val="center" w:pos="4153" w:leader="none"/>
        <w:tab w:val="right" w:pos="8306" w:leader="none"/>
      </w:tabs>
      <w:pBdr>
        <w:top w:val="none" w:sz="0" w:space="3" w:color="000000"/>
        <w:left w:val="none" w:sz="0" w:space="3" w:color="000000"/>
        <w:bottom w:val="single" w:sz="6" w:space="1" w:color="000000"/>
        <w:right w:val="none" w:sz="0" w:space="3" w:color="000000"/>
        <w:between w:val="none" w:sz="0" w:space="0" w:color="000000"/>
      </w:pBdr>
      <w:shd w:val="none"/>
    </w:pPr>
    <w:rPr>
      <w:sz w:val="18"/>
      <w:szCs w:val="18"/>
    </w:rPr>
  </w:style>
  <w:style w:type="character" w:styleId="" w:default="1">
    <w:name w:val="Default Paragraph Font"/>
    <w:rPr>
      <w:kern w:val="0"/>
      <w:sz w:val="20"/>
      <w:szCs w:val="20"/>
    </w:rPr>
  </w:style>
  <w:style w:type="character" w:styleId="">
    <w:name w:val="Page Number"/>
    <w:basedOn w:val=""/>
  </w:style>
  <w:style w:type="character" w:styleId="Char" w:customStyle="1">
    <w:name w:val="页眉 Char"/>
    <w:basedOn w:val=""/>
    <w:rPr>
      <w:kern w:val="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 ?>
<Relationships xmlns="http://schemas.openxmlformats.org/package/2006/relationships"><Relationship Id="rId1" Type="http://schemas.openxmlformats.org/officeDocument/2006/relationships/webSettings" Target="webSettings.xml"/><Relationship Id="rId2" Type="http://schemas.openxmlformats.org/officeDocument/2006/relationships/settings" Target="settings.xml"/><Relationship Id="rId3" Type="http://schemas.openxmlformats.org/officeDocument/2006/relationships/theme" Target="theme/theme1.xml"/><Relationship Id="rId4" Type="http://schemas.openxmlformats.org/officeDocument/2006/relationships/fontTable" Target="fontTable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microsoft.com/office/2007/relationships/stylesWithEffects" Target="stylesWithEffects.xml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Times New Roman"/>
        <a:ea typeface="宋体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TextMaker 2012 rev.694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谢梓铃</dc:creator>
  <cp:keywords/>
  <dc:description/>
  <cp:lastModifiedBy/>
  <cp:revision>6</cp:revision>
  <cp:lastPrinted>2017-04-18T02:20:00Z</cp:lastPrinted>
  <dcterms:created xsi:type="dcterms:W3CDTF">2017-04-18T02:09:00Z</dcterms:created>
  <dcterms:modified xsi:type="dcterms:W3CDTF">2017-05-05T17:28:02Z</dcterms:modified>
</cp:coreProperties>
</file>