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420"/>
        <w:jc w:val="both"/>
        <w:textAlignment w:val="auto"/>
        <w:outlineLvl w:val="9"/>
        <w:rPr>
          <w:rFonts w:hint="eastAsia" w:ascii="Times New Roman" w:hAnsi="Times New Roman" w:eastAsia="宋体" w:cs="宋体"/>
          <w:i w:val="0"/>
          <w:caps w:val="0"/>
          <w:color w:val="333333"/>
          <w:spacing w:val="0"/>
          <w:sz w:val="24"/>
          <w:szCs w:val="24"/>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36"/>
          <w:szCs w:val="36"/>
          <w:shd w:val="clear" w:color="080000" w:fill="FFFFFF"/>
          <w:lang w:val="en-US" w:eastAsia="zh-CN"/>
        </w:rPr>
      </w:pPr>
      <w:r>
        <w:rPr>
          <w:rFonts w:hint="eastAsia" w:ascii="Times New Roman" w:hAnsi="Times New Roman" w:eastAsia="方正小标宋简体" w:cs="方正小标宋简体"/>
          <w:b w:val="0"/>
          <w:bCs/>
          <w:i w:val="0"/>
          <w:caps w:val="0"/>
          <w:color w:val="333333"/>
          <w:spacing w:val="0"/>
          <w:sz w:val="36"/>
          <w:szCs w:val="36"/>
          <w:shd w:val="clear" w:color="080000" w:fill="FFFFFF"/>
          <w:lang w:val="en-US" w:eastAsia="zh-CN"/>
        </w:rPr>
        <w:t>2022年</w:t>
      </w:r>
      <w:r>
        <w:rPr>
          <w:rFonts w:hint="eastAsia" w:ascii="Times New Roman" w:hAnsi="Times New Roman" w:eastAsia="方正小标宋简体" w:cs="方正小标宋简体"/>
          <w:b w:val="0"/>
          <w:bCs/>
          <w:i w:val="0"/>
          <w:caps w:val="0"/>
          <w:color w:val="333333"/>
          <w:spacing w:val="0"/>
          <w:sz w:val="36"/>
          <w:szCs w:val="36"/>
          <w:shd w:val="clear" w:color="080000" w:fill="FFFFFF"/>
          <w:lang w:eastAsia="zh-CN"/>
        </w:rPr>
        <w:t>汕头市公安局潮阳分局</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0"/>
        <w:jc w:val="center"/>
        <w:textAlignment w:val="auto"/>
        <w:outlineLvl w:val="9"/>
        <w:rPr>
          <w:rFonts w:hint="eastAsia" w:ascii="Times New Roman" w:hAnsi="Times New Roman" w:eastAsia="宋体" w:cs="宋体"/>
          <w:i w:val="0"/>
          <w:caps w:val="0"/>
          <w:color w:val="333333"/>
          <w:spacing w:val="0"/>
          <w:sz w:val="24"/>
          <w:szCs w:val="24"/>
        </w:rPr>
      </w:pPr>
      <w:r>
        <w:rPr>
          <w:rFonts w:hint="eastAsia" w:ascii="Times New Roman" w:hAnsi="Times New Roman" w:eastAsia="方正小标宋简体" w:cs="方正小标宋简体"/>
          <w:b w:val="0"/>
          <w:bCs/>
          <w:i w:val="0"/>
          <w:caps w:val="0"/>
          <w:color w:val="333333"/>
          <w:spacing w:val="0"/>
          <w:sz w:val="36"/>
          <w:szCs w:val="36"/>
          <w:shd w:val="clear" w:color="080000" w:fill="FFFFFF"/>
        </w:rPr>
        <w:t>政府信息公开工作年度报告</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420"/>
        <w:jc w:val="both"/>
        <w:textAlignment w:val="auto"/>
        <w:outlineLvl w:val="9"/>
        <w:rPr>
          <w:rFonts w:hint="eastAsia" w:ascii="Times New Roman" w:hAnsi="Times New Roman" w:eastAsia="宋体" w:cs="宋体"/>
          <w:i w:val="0"/>
          <w:caps w:val="0"/>
          <w:color w:val="333333"/>
          <w:spacing w:val="0"/>
          <w:sz w:val="24"/>
          <w:szCs w:val="24"/>
        </w:rPr>
      </w:pP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420"/>
        <w:jc w:val="both"/>
        <w:textAlignment w:val="auto"/>
        <w:outlineLvl w:val="9"/>
        <w:rPr>
          <w:rFonts w:hint="eastAsia" w:ascii="Times New Roman" w:hAnsi="Times New Roman" w:eastAsia="宋体" w:cs="宋体"/>
          <w:i w:val="0"/>
          <w:caps w:val="0"/>
          <w:color w:val="333333"/>
          <w:spacing w:val="0"/>
          <w:sz w:val="28"/>
          <w:szCs w:val="28"/>
        </w:rPr>
      </w:pPr>
      <w:r>
        <w:rPr>
          <w:rFonts w:hint="eastAsia" w:ascii="Times New Roman" w:hAnsi="Times New Roman" w:eastAsia="黑体" w:cs="黑体"/>
          <w:b w:val="0"/>
          <w:bCs/>
          <w:i w:val="0"/>
          <w:caps w:val="0"/>
          <w:color w:val="333333"/>
          <w:spacing w:val="0"/>
          <w:sz w:val="28"/>
          <w:szCs w:val="28"/>
          <w:shd w:val="clear" w:color="080000" w:fill="FFFFFF"/>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严格按照《中华人民共和国政府信息公开条例》和《汕头市政务公开条例》等文件要求，切实加强政府信息公开工作。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（一）扎实做好政府信息主动公开工作。</w:t>
      </w:r>
      <w:r>
        <w:rPr>
          <w:rFonts w:hint="eastAsia" w:ascii="仿宋_GB2312" w:hAnsi="仿宋_GB2312" w:eastAsia="仿宋_GB2312" w:cs="仿宋_GB2312"/>
          <w:sz w:val="32"/>
          <w:szCs w:val="32"/>
        </w:rPr>
        <w:t>根据《条例》规定，汕头市公安局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按照“严格依法、全面真实、及时便民”的要求，完善主动公开政府信息的程序，扩大政府信息传播范围，全面加强政府信息主动公开工作，使公众更好地了解和理解公安工作。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（二）认真做好政府信息依申请公开工作。</w:t>
      </w:r>
      <w:r>
        <w:rPr>
          <w:rFonts w:hint="eastAsia" w:ascii="仿宋_GB2312" w:hAnsi="仿宋_GB2312" w:eastAsia="仿宋_GB2312" w:cs="仿宋_GB2312"/>
          <w:sz w:val="32"/>
          <w:szCs w:val="32"/>
        </w:rPr>
        <w:t>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进一步完善和细化政府信息依申请公开工作流程，优化受理、审查、征询等环节，依法依规及时回复公民依法提出的政府信息公开申请，确保答复合法有据、准确及时，维护公民的合法权益。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i w:val="0"/>
          <w:caps w:val="0"/>
          <w:color w:val="333333"/>
          <w:spacing w:val="0"/>
          <w:sz w:val="28"/>
          <w:szCs w:val="28"/>
        </w:rPr>
      </w:pPr>
      <w:r>
        <w:rPr>
          <w:rFonts w:hint="eastAsia" w:ascii="楷体_GB2312" w:hAnsi="楷体_GB2312" w:eastAsia="楷体_GB2312" w:cs="楷体_GB2312"/>
          <w:sz w:val="32"/>
          <w:szCs w:val="32"/>
        </w:rPr>
        <w:t>（三）资源整合和平台集约。</w:t>
      </w:r>
      <w:r>
        <w:rPr>
          <w:rFonts w:hint="eastAsia" w:ascii="仿宋_GB2312" w:hAnsi="仿宋_GB2312" w:eastAsia="仿宋_GB2312" w:cs="仿宋_GB2312"/>
          <w:sz w:val="32"/>
          <w:szCs w:val="32"/>
        </w:rPr>
        <w:t>根据省府办《广东省人民政府办公厅关于推进基层政府网站集约化建设的通知》（粤办函[2017]156号）和市府办《关于印发汕头市政府网站集约化建设工作方案的通知》（汕市办函[2017]215号）精神，为贯彻落实国家、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的统一部署，推动资源整合和平台集约，我局迁移至</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政府门户网站，以专栏形式呈现。</w:t>
      </w:r>
    </w:p>
    <w:p>
      <w:pPr>
        <w:pStyle w:val="4"/>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580" w:lineRule="exact"/>
        <w:ind w:left="0" w:leftChars="0" w:right="0" w:firstLine="420" w:firstLineChars="0"/>
        <w:jc w:val="both"/>
        <w:textAlignment w:val="auto"/>
        <w:outlineLvl w:val="9"/>
        <w:rPr>
          <w:rFonts w:hint="eastAsia" w:ascii="Times New Roman" w:hAnsi="Times New Roman" w:eastAsia="宋体" w:cs="宋体"/>
          <w:i w:val="0"/>
          <w:caps w:val="0"/>
          <w:color w:val="333333"/>
          <w:spacing w:val="0"/>
          <w:sz w:val="28"/>
          <w:szCs w:val="28"/>
        </w:rPr>
      </w:pPr>
      <w:r>
        <w:rPr>
          <w:rFonts w:hint="eastAsia" w:ascii="Times New Roman" w:hAnsi="Times New Roman" w:eastAsia="宋体" w:cs="宋体"/>
          <w:b/>
          <w:i w:val="0"/>
          <w:caps w:val="0"/>
          <w:color w:val="333333"/>
          <w:spacing w:val="0"/>
          <w:sz w:val="28"/>
          <w:szCs w:val="28"/>
          <w:shd w:val="clear" w:color="080000" w:fill="FFFFFF"/>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本年</w:t>
            </w:r>
            <w:r>
              <w:rPr>
                <w:rFonts w:hint="eastAsia" w:ascii="Times New Roman" w:hAnsi="Times New Roman" w:eastAsia="宋体" w:cs="宋体"/>
                <w:kern w:val="0"/>
                <w:sz w:val="20"/>
                <w:szCs w:val="20"/>
                <w:lang w:val="en-US" w:eastAsia="zh-CN"/>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现行有效件</w:t>
            </w:r>
            <w:r>
              <w:rPr>
                <w:rFonts w:hint="eastAsia" w:ascii="Times New Roman" w:hAnsi="Times New Roman" w:eastAsia="宋体" w:cs="宋体"/>
                <w:kern w:val="0"/>
                <w:sz w:val="20"/>
                <w:szCs w:val="20"/>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imes New Roman" w:hAnsi="Times New Roman" w:eastAsia="宋体"/>
                <w:lang w:val="en-US" w:eastAsia="zh-CN"/>
              </w:rPr>
            </w:pPr>
            <w:r>
              <w:rPr>
                <w:rFonts w:hint="eastAsia" w:ascii="Times New Roman" w:hAnsi="Times New Roman"/>
                <w:lang w:val="en-US" w:eastAsia="zh-CN"/>
              </w:rPr>
              <w:t>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lang w:val="en-US" w:eastAsia="zh-CN"/>
              </w:rPr>
            </w:pPr>
            <w:r>
              <w:rPr>
                <w:rFonts w:hint="eastAsia" w:ascii="Times New Roman" w:hAnsi="Times New Roman"/>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lang w:val="en-US" w:eastAsia="zh-CN"/>
              </w:rPr>
            </w:pPr>
            <w:r>
              <w:rPr>
                <w:rFonts w:hint="eastAsia" w:ascii="Times New Roman" w:hAnsi="Times New Roman"/>
                <w:lang w:val="en-US" w:eastAsia="zh-CN"/>
              </w:rPr>
              <w:t>21586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lang w:val="en-US" w:eastAsia="zh-CN"/>
              </w:rPr>
            </w:pPr>
            <w:r>
              <w:rPr>
                <w:rFonts w:hint="eastAsia" w:ascii="Times New Roman" w:hAnsi="Times New Roman"/>
                <w:lang w:val="en-US" w:eastAsia="zh-CN"/>
              </w:rPr>
              <w:t>116323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color w:val="000000"/>
                <w:kern w:val="0"/>
                <w:sz w:val="20"/>
                <w:szCs w:val="20"/>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Times New Roman" w:hAnsi="Times New Roman"/>
                <w:sz w:val="24"/>
                <w:szCs w:val="24"/>
              </w:rPr>
            </w:pPr>
            <w:r>
              <w:rPr>
                <w:rFonts w:hint="eastAsia" w:ascii="Times New Roman" w:hAnsi="Times New Roman"/>
                <w:sz w:val="24"/>
                <w:szCs w:val="24"/>
              </w:rPr>
              <w:t>1883.39</w:t>
            </w:r>
          </w:p>
        </w:tc>
      </w:tr>
    </w:tbl>
    <w:p>
      <w:pPr>
        <w:widowControl/>
        <w:jc w:val="left"/>
        <w:rPr>
          <w:rFonts w:ascii="Times New Roman" w:hAnsi="Times New Roman"/>
        </w:rPr>
      </w:pP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Times New Roman" w:hAnsi="Times New Roman" w:eastAsia="宋体" w:cs="宋体"/>
          <w:b/>
          <w:i w:val="0"/>
          <w:caps w:val="0"/>
          <w:color w:val="333333"/>
          <w:spacing w:val="0"/>
          <w:sz w:val="28"/>
          <w:szCs w:val="28"/>
          <w:shd w:val="clear" w:color="080000" w:fill="FFFFFF"/>
        </w:rPr>
      </w:pPr>
      <w:r>
        <w:rPr>
          <w:rFonts w:hint="eastAsia" w:ascii="Times New Roman" w:hAnsi="Times New Roman" w:eastAsia="宋体" w:cs="宋体"/>
          <w:b/>
          <w:i w:val="0"/>
          <w:caps w:val="0"/>
          <w:color w:val="333333"/>
          <w:spacing w:val="0"/>
          <w:sz w:val="28"/>
          <w:szCs w:val="28"/>
          <w:shd w:val="clear" w:color="080000"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ascii="Times New Roman" w:hAnsi="Times New Roman"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商业</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科研</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（二）部分公开</w:t>
            </w:r>
            <w:r>
              <w:rPr>
                <w:rFonts w:hint="default" w:ascii="Times New Roman" w:hAnsi="Times New Roman"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rPr>
            </w:pPr>
            <w:r>
              <w:rPr>
                <w:rFonts w:hint="eastAsia" w:ascii="Times New Roman" w:hAnsi="Times New Roman"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rPr>
            </w:pPr>
            <w:r>
              <w:rPr>
                <w:rFonts w:hint="eastAsia" w:ascii="Times New Roman" w:hAnsi="Times New Roman"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Times New Roman" w:hAnsi="Times New Roman"/>
              </w:rPr>
            </w:pPr>
            <w:r>
              <w:rPr>
                <w:rFonts w:hint="eastAsia" w:ascii="Times New Roman" w:hAnsi="Times New Roman"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3220"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hint="eastAsia" w:ascii="Times New Roman" w:hAnsi="Times New Roman"/>
                <w:sz w:val="24"/>
                <w:szCs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rPr>
            </w:pPr>
            <w:r>
              <w:rPr>
                <w:rFonts w:hint="eastAsia" w:ascii="Times New Roman" w:hAnsi="Times New Roman" w:eastAsia="宋体" w:cs="宋体"/>
                <w:kern w:val="0"/>
                <w:sz w:val="20"/>
                <w:szCs w:val="20"/>
                <w:lang w:val="en-US" w:eastAsia="zh-CN"/>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黑体"/>
                <w:kern w:val="2"/>
                <w:sz w:val="21"/>
                <w:szCs w:val="24"/>
                <w:lang w:val="en-US" w:eastAsia="zh-CN" w:bidi="ar-SA"/>
              </w:rPr>
            </w:pPr>
            <w:r>
              <w:rPr>
                <w:rFonts w:hint="eastAsia" w:ascii="Times New Roman" w:hAnsi="Times New Roman" w:cs="Calibri"/>
                <w:kern w:val="0"/>
                <w:sz w:val="20"/>
                <w:szCs w:val="20"/>
                <w:lang w:val="en-US" w:eastAsia="zh-CN"/>
              </w:rPr>
              <w:t>1</w:t>
            </w:r>
          </w:p>
        </w:tc>
      </w:tr>
    </w:tbl>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Autospacing="0" w:afterAutospacing="0" w:line="240" w:lineRule="exact"/>
        <w:ind w:left="0" w:leftChars="0" w:right="0" w:firstLine="0" w:firstLineChars="0"/>
        <w:jc w:val="center"/>
        <w:textAlignment w:val="auto"/>
        <w:outlineLvl w:val="9"/>
        <w:rPr>
          <w:rFonts w:hint="eastAsia" w:ascii="Times New Roman" w:hAnsi="Times New Roman" w:eastAsia="宋体" w:cs="宋体"/>
          <w:i w:val="0"/>
          <w:caps w:val="0"/>
          <w:color w:val="333333"/>
          <w:spacing w:val="0"/>
          <w:sz w:val="24"/>
          <w:szCs w:val="24"/>
        </w:rPr>
      </w:pP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Times New Roman" w:hAnsi="Times New Roman" w:eastAsia="宋体" w:cs="宋体"/>
          <w:b w:val="0"/>
          <w:bCs/>
          <w:i w:val="0"/>
          <w:caps w:val="0"/>
          <w:color w:val="333333"/>
          <w:spacing w:val="0"/>
          <w:sz w:val="28"/>
          <w:szCs w:val="28"/>
        </w:rPr>
      </w:pPr>
      <w:r>
        <w:rPr>
          <w:rFonts w:hint="eastAsia" w:ascii="Times New Roman" w:hAnsi="Times New Roman" w:eastAsia="黑体" w:cs="黑体"/>
          <w:b w:val="0"/>
          <w:bCs/>
          <w:i w:val="0"/>
          <w:caps w:val="0"/>
          <w:color w:val="333333"/>
          <w:spacing w:val="0"/>
          <w:sz w:val="28"/>
          <w:szCs w:val="28"/>
          <w:shd w:val="clear" w:color="080000"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其他</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尚未</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其他</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尚未</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结果</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color w:val="000000"/>
                <w:kern w:val="0"/>
                <w:sz w:val="20"/>
                <w:szCs w:val="20"/>
                <w:lang w:val="en-US" w:eastAsia="zh-CN"/>
              </w:rPr>
              <w:t>其他</w:t>
            </w:r>
            <w:r>
              <w:rPr>
                <w:rFonts w:hint="eastAsia" w:ascii="Times New Roman" w:hAnsi="Times New Roman" w:eastAsia="宋体" w:cs="宋体"/>
                <w:color w:val="000000"/>
                <w:kern w:val="0"/>
                <w:sz w:val="20"/>
                <w:szCs w:val="20"/>
                <w:lang w:val="en-US" w:eastAsia="zh-CN"/>
              </w:rPr>
              <w:br w:type="textWrapping"/>
            </w:r>
            <w:r>
              <w:rPr>
                <w:rFonts w:hint="eastAsia" w:ascii="Times New Roman" w:hAnsi="Times New Roman"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kern w:val="0"/>
                <w:sz w:val="20"/>
                <w:szCs w:val="20"/>
                <w:lang w:val="en-US" w:eastAsia="zh-CN"/>
              </w:rPr>
              <w:t>尚未</w:t>
            </w:r>
            <w:r>
              <w:rPr>
                <w:rFonts w:hint="eastAsia" w:ascii="Times New Roman" w:hAnsi="Times New Roman" w:eastAsia="宋体" w:cs="宋体"/>
                <w:kern w:val="0"/>
                <w:sz w:val="20"/>
                <w:szCs w:val="20"/>
                <w:lang w:val="en-US" w:eastAsia="zh-CN"/>
              </w:rPr>
              <w:br w:type="textWrapping"/>
            </w:r>
            <w:r>
              <w:rPr>
                <w:rFonts w:hint="eastAsia" w:ascii="Times New Roman" w:hAnsi="Times New Roman"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宋体" w:cs="宋体"/>
                <w:color w:val="000000"/>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rPr>
            </w:pPr>
            <w:r>
              <w:rPr>
                <w:rFonts w:hint="eastAsia" w:ascii="Times New Roman" w:hAnsi="Times New Roman"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Times New Roman" w:hAnsi="Times New Roman" w:eastAsia="仿宋" w:cs="仿宋"/>
          <w:i w:val="0"/>
          <w:caps w:val="0"/>
          <w:color w:val="333333"/>
          <w:spacing w:val="0"/>
          <w:sz w:val="32"/>
          <w:szCs w:val="32"/>
        </w:rPr>
      </w:pPr>
      <w:r>
        <w:rPr>
          <w:rFonts w:hint="eastAsia" w:ascii="Times New Roman" w:hAnsi="Times New Roman" w:eastAsia="黑体" w:cs="黑体"/>
          <w:b w:val="0"/>
          <w:bCs/>
          <w:i w:val="0"/>
          <w:caps w:val="0"/>
          <w:color w:val="333333"/>
          <w:spacing w:val="0"/>
          <w:sz w:val="28"/>
          <w:szCs w:val="28"/>
          <w:shd w:val="clear" w:color="080000" w:fill="FFFFFF"/>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将继续加大政府信息公开工作力度，努力推进政府信息公开工作上新台阶。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（一）进一步加强组织领导和教育培训。</w:t>
      </w:r>
      <w:r>
        <w:rPr>
          <w:rFonts w:hint="eastAsia" w:ascii="仿宋_GB2312" w:hAnsi="仿宋_GB2312" w:eastAsia="仿宋_GB2312" w:cs="仿宋_GB2312"/>
          <w:sz w:val="32"/>
          <w:szCs w:val="32"/>
        </w:rPr>
        <w:t>根据省政府、市委、市政府</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关于政府信息公开工作的总体要求，结合公安工作实际，制定完善汕头市公安局</w:t>
      </w:r>
      <w:r>
        <w:rPr>
          <w:rFonts w:hint="eastAsia" w:ascii="仿宋_GB2312" w:hAnsi="仿宋_GB2312" w:eastAsia="仿宋_GB2312" w:cs="仿宋_GB2312"/>
          <w:sz w:val="32"/>
          <w:szCs w:val="32"/>
          <w:lang w:eastAsia="zh-CN"/>
        </w:rPr>
        <w:t>潮阳分局</w:t>
      </w:r>
      <w:r>
        <w:rPr>
          <w:rFonts w:hint="eastAsia" w:ascii="仿宋_GB2312" w:hAnsi="仿宋_GB2312" w:eastAsia="仿宋_GB2312" w:cs="仿宋_GB2312"/>
          <w:sz w:val="32"/>
          <w:szCs w:val="32"/>
        </w:rPr>
        <w:t>政府信息公开工作总体规划。同时，通过加强培训等多种形式，切实提高公安机关和广大民警贯彻执行《条例》的主动性和自觉性。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（二）进一步丰富政府信息公开形式。</w:t>
      </w:r>
      <w:r>
        <w:rPr>
          <w:rFonts w:hint="eastAsia" w:ascii="仿宋_GB2312" w:hAnsi="仿宋_GB2312" w:eastAsia="仿宋_GB2312" w:cs="仿宋_GB2312"/>
          <w:sz w:val="32"/>
          <w:szCs w:val="32"/>
        </w:rPr>
        <w:t>继续通过新闻媒体、新媒体、网上发布等方式，及时向社会发布公众关注度高、涉及面广的重要警务信息、工作信息和警方提示。同时，加强网络新媒体建设，方便群众通过多渠道全方位获取政府信息，让人民群众更有幸福感、获取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（三）进一步加强把关，严格审批。</w:t>
      </w:r>
      <w:r>
        <w:rPr>
          <w:rFonts w:hint="eastAsia" w:ascii="仿宋_GB2312" w:hAnsi="仿宋_GB2312" w:eastAsia="仿宋_GB2312" w:cs="仿宋_GB2312"/>
          <w:sz w:val="32"/>
          <w:szCs w:val="32"/>
        </w:rPr>
        <w:t>严格按照“涉密不公开，公开不涉密”的要求，对需要公开的政府信息严格执行预审制度，所有须公开的信息必须经过领导签发，确保信息发布的准确性和防止发生违规泄密事件。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（四）加强培训，提高素养。</w:t>
      </w:r>
      <w:r>
        <w:rPr>
          <w:rFonts w:hint="eastAsia" w:ascii="仿宋_GB2312" w:hAnsi="仿宋_GB2312" w:eastAsia="仿宋_GB2312" w:cs="仿宋_GB2312"/>
          <w:sz w:val="32"/>
          <w:szCs w:val="32"/>
        </w:rPr>
        <w:t>对从事政府信息公开工作的人员加大业务知识和信息化水平培训力度，进一步提高工作人员的业务水平和业务素养，确保我局公开信息的全面、及时、准确。</w:t>
      </w: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both"/>
        <w:rPr>
          <w:rFonts w:hint="eastAsia" w:ascii="Times New Roman" w:hAnsi="Times New Roman" w:eastAsia="黑体" w:cs="黑体"/>
          <w:b w:val="0"/>
          <w:bCs/>
          <w:i w:val="0"/>
          <w:caps w:val="0"/>
          <w:color w:val="333333"/>
          <w:spacing w:val="0"/>
          <w:sz w:val="28"/>
          <w:szCs w:val="28"/>
          <w:shd w:val="clear" w:color="080000" w:fill="FFFFFF"/>
        </w:rPr>
      </w:pPr>
      <w:r>
        <w:rPr>
          <w:rFonts w:hint="eastAsia" w:ascii="Times New Roman" w:hAnsi="Times New Roman" w:eastAsia="黑体" w:cs="黑体"/>
          <w:b w:val="0"/>
          <w:bCs/>
          <w:i w:val="0"/>
          <w:caps w:val="0"/>
          <w:color w:val="333333"/>
          <w:spacing w:val="0"/>
          <w:sz w:val="28"/>
          <w:szCs w:val="28"/>
          <w:shd w:val="clear" w:color="080000" w:fill="FFFFFF"/>
        </w:rPr>
        <w:t>六、其他需要报告的事项</w:t>
      </w:r>
    </w:p>
    <w:p>
      <w:pPr>
        <w:pStyle w:val="4"/>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420"/>
        <w:jc w:val="left"/>
        <w:rPr>
          <w:rFonts w:ascii="Times New Roman" w:hAnsi="Times New Roman"/>
        </w:rPr>
      </w:pPr>
      <w:r>
        <w:rPr>
          <w:rFonts w:hint="eastAsia" w:ascii="仿宋_GB2312" w:hAnsi="仿宋_GB2312" w:eastAsia="仿宋_GB2312" w:cs="仿宋_GB2312"/>
          <w:sz w:val="32"/>
          <w:szCs w:val="32"/>
          <w:lang w:val="en-US" w:eastAsia="zh-CN"/>
        </w:rPr>
        <w:t>收取信息处理费的情况：本年度无发出收费通知，无收取信息处理费用。</w:t>
      </w:r>
    </w:p>
    <w:sectPr>
      <w:headerReference r:id="rId3" w:type="default"/>
      <w:footerReference r:id="rId4" w:type="default"/>
      <w:pgSz w:w="11906" w:h="16838"/>
      <w:pgMar w:top="2268" w:right="1417" w:bottom="1701" w:left="1701"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_x0000_s4097"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9DD17E3"/>
    <w:rsid w:val="190467B2"/>
    <w:rsid w:val="2DDE503B"/>
    <w:rsid w:val="323A58F4"/>
    <w:rsid w:val="37E869D5"/>
    <w:rsid w:val="3F800B79"/>
    <w:rsid w:val="58D54C5A"/>
    <w:rsid w:val="625E4DD9"/>
    <w:rsid w:val="65463C7B"/>
    <w:rsid w:val="69DD17E3"/>
    <w:rsid w:val="715877B9"/>
    <w:rsid w:val="73333C49"/>
    <w:rsid w:val="BEFFE95F"/>
    <w:rsid w:val="F7EFC5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2021-12-17T02:28:00Z</dcterms:created>
  <dc:creator>uos</dc:creator>
  <cp:lastModifiedBy>Administrator</cp:lastModifiedBy>
  <dcterms:modified xsi:type="dcterms:W3CDTF">2023-01-18T08:19:58Z</dcterms:modified>
  <dc:title>国务院办公厅政府信息与政务公开办公室关于印发《中华人民共和国政府信息公开工作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