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2023年1月潮阳经济运行简况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按照国家统计报表制度的规定，工业、固定资产投资、房地产、批零住餐等专业统计报表1月份免报。现就部分指标完成情况作简要说明。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财政收入情况。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1月，全区地方一般公共预算收入1.82亿元，同比增长2.1%。其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中，税收收入1.29亿元，增长2.0%；非税收入0.53亿元，增长2.4%。全区一般公共预算支出5.70亿元，同比下降14.4%。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金融存贷情况。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1月末，全区金融机构各项存款761.40亿元，比年初增长3.4%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。其中，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储蓄存款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660.82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亿元，比年初增长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%；企业存款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86.23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亿元，比年初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%；其他存款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亿元，比年初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107.5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各项贷款251.73亿元，比年初下降0.6%。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N2JkZmU0OTJmY2U1NzRjYzI2YmI1NGQ0YjVlMjgifQ=="/>
  </w:docVars>
  <w:rsids>
    <w:rsidRoot w:val="00000000"/>
    <w:rsid w:val="07562164"/>
    <w:rsid w:val="0F490B95"/>
    <w:rsid w:val="244144CB"/>
    <w:rsid w:val="27AE6968"/>
    <w:rsid w:val="2EB05DCC"/>
    <w:rsid w:val="35A3734F"/>
    <w:rsid w:val="50A910FA"/>
    <w:rsid w:val="62E32419"/>
    <w:rsid w:val="755A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315</Characters>
  <Lines>0</Lines>
  <Paragraphs>0</Paragraphs>
  <TotalTime>32</TotalTime>
  <ScaleCrop>false</ScaleCrop>
  <LinksUpToDate>false</LinksUpToDate>
  <CharactersWithSpaces>315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2022-02-23T07:26:00Z</dcterms:created>
  <dc:creator>admin</dc:creator>
  <cp:lastModifiedBy>*凌杰¥晨枫*</cp:lastModifiedBy>
  <dcterms:modified xsi:type="dcterms:W3CDTF">2023-03-02T01:56:56Z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3019362901474BC98EC65B97670D0728</vt:lpwstr>
  </property>
</Properties>
</file>