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880A5">
      <w:pPr>
        <w:spacing w:line="254" w:lineRule="auto"/>
        <w:rPr>
          <w:rFonts w:ascii="Arial"/>
          <w:sz w:val="21"/>
        </w:rPr>
      </w:pPr>
    </w:p>
    <w:p w14:paraId="7F0BE736">
      <w:pPr>
        <w:spacing w:line="254" w:lineRule="auto"/>
        <w:rPr>
          <w:rFonts w:ascii="Arial"/>
          <w:sz w:val="21"/>
        </w:rPr>
      </w:pPr>
    </w:p>
    <w:p w14:paraId="5F85160C">
      <w:pPr>
        <w:spacing w:before="140" w:line="221" w:lineRule="auto"/>
        <w:rPr>
          <w:rFonts w:ascii="宋体" w:hAnsi="宋体" w:eastAsia="宋体" w:cs="宋体"/>
          <w:spacing w:val="9"/>
          <w:sz w:val="43"/>
          <w:szCs w:val="43"/>
          <w14:textOutline w14:w="6350" w14:cap="flat" w14:cmpd="sng">
            <w14:solidFill>
              <w14:srgbClr w14:val="000000"/>
            </w14:solidFill>
            <w14:prstDash w14:val="solid"/>
            <w14:miter w14:val="0"/>
          </w14:textOutline>
        </w:rPr>
      </w:pPr>
    </w:p>
    <w:p w14:paraId="6CD58A32">
      <w:pPr>
        <w:spacing w:before="206" w:line="206" w:lineRule="auto"/>
        <w:ind w:left="4064"/>
        <w:jc w:val="left"/>
        <w:rPr>
          <w:rFonts w:hint="eastAsia" w:ascii="微软雅黑" w:hAnsi="微软雅黑" w:eastAsia="微软雅黑" w:cs="微软雅黑"/>
          <w:sz w:val="48"/>
          <w:szCs w:val="48"/>
          <w:lang w:eastAsia="zh-CN"/>
        </w:rPr>
      </w:pPr>
    </w:p>
    <w:p w14:paraId="76B6139C">
      <w:pPr>
        <w:spacing w:before="206" w:line="206" w:lineRule="auto"/>
        <w:jc w:val="center"/>
        <w:outlineLvl w:val="0"/>
        <w:rPr>
          <w:rFonts w:hint="eastAsia" w:ascii="微软雅黑" w:hAnsi="微软雅黑" w:eastAsia="微软雅黑" w:cs="微软雅黑"/>
          <w:sz w:val="48"/>
          <w:szCs w:val="48"/>
          <w:lang w:eastAsia="zh-CN"/>
        </w:rPr>
      </w:pPr>
      <w:bookmarkStart w:id="0" w:name="_Toc8555"/>
      <w:r>
        <w:rPr>
          <w:rFonts w:hint="eastAsia" w:ascii="方正小标宋简体" w:hAnsi="方正小标宋简体" w:eastAsia="方正小标宋简体" w:cs="方正小标宋简体"/>
          <w:sz w:val="44"/>
          <w:szCs w:val="44"/>
          <w:lang w:eastAsia="zh-CN"/>
        </w:rPr>
        <w:t>汕头市潮阳区突发环境事件应急预案</w:t>
      </w:r>
      <w:bookmarkEnd w:id="0"/>
    </w:p>
    <w:p w14:paraId="085FAA18">
      <w:pPr>
        <w:spacing w:before="140" w:line="221" w:lineRule="auto"/>
        <w:ind w:left="1490"/>
        <w:rPr>
          <w:rFonts w:ascii="宋体" w:hAnsi="宋体" w:eastAsia="宋体" w:cs="宋体"/>
          <w:spacing w:val="9"/>
          <w:sz w:val="43"/>
          <w:szCs w:val="43"/>
          <w14:textOutline w14:w="6350" w14:cap="flat" w14:cmpd="sng">
            <w14:solidFill>
              <w14:srgbClr w14:val="000000"/>
            </w14:solidFill>
            <w14:prstDash w14:val="solid"/>
            <w14:miter w14:val="0"/>
          </w14:textOutline>
        </w:rPr>
      </w:pPr>
      <w:r>
        <w:rPr>
          <w:rFonts w:hint="eastAsia" w:ascii="仿宋" w:hAnsi="仿宋" w:eastAsia="仿宋" w:cs="仿宋"/>
          <w:snapToGrid w:val="0"/>
          <w:kern w:val="32"/>
          <w:sz w:val="32"/>
          <w:szCs w:val="32"/>
        </w:rPr>
        <w:t>（</w:t>
      </w:r>
      <w:r>
        <w:rPr>
          <w:rFonts w:hint="eastAsia" w:ascii="仿宋" w:hAnsi="仿宋" w:eastAsia="仿宋" w:cs="仿宋"/>
          <w:snapToGrid w:val="0"/>
          <w:kern w:val="32"/>
          <w:sz w:val="32"/>
          <w:szCs w:val="32"/>
          <w:lang w:eastAsia="zh-CN"/>
        </w:rPr>
        <w:t>第二次</w:t>
      </w:r>
      <w:r>
        <w:rPr>
          <w:rFonts w:hint="eastAsia" w:ascii="仿宋" w:hAnsi="仿宋" w:eastAsia="仿宋" w:cs="仿宋"/>
          <w:snapToGrid w:val="0"/>
          <w:kern w:val="32"/>
          <w:sz w:val="32"/>
          <w:szCs w:val="32"/>
        </w:rPr>
        <w:t>征求意见稿）</w:t>
      </w:r>
      <w:r>
        <w:rPr>
          <w:rFonts w:hint="eastAsia" w:ascii="仿宋" w:hAnsi="仿宋" w:eastAsia="仿宋" w:cs="仿宋"/>
          <w:snapToGrid w:val="0"/>
          <w:kern w:val="32"/>
          <w:sz w:val="32"/>
          <w:szCs w:val="32"/>
          <w:lang w:eastAsia="zh-CN"/>
        </w:rPr>
        <w:t>（下划线为修改部分）</w:t>
      </w:r>
    </w:p>
    <w:p w14:paraId="3A1E9220">
      <w:pPr>
        <w:spacing w:before="206" w:line="206" w:lineRule="auto"/>
        <w:ind w:left="4064"/>
        <w:jc w:val="center"/>
        <w:rPr>
          <w:rFonts w:ascii="微软雅黑" w:hAnsi="微软雅黑" w:eastAsia="微软雅黑" w:cs="微软雅黑"/>
          <w:sz w:val="48"/>
          <w:szCs w:val="48"/>
        </w:rPr>
      </w:pPr>
    </w:p>
    <w:p w14:paraId="11EEA88D">
      <w:pPr>
        <w:spacing w:before="206" w:line="206" w:lineRule="auto"/>
        <w:ind w:left="4064"/>
        <w:rPr>
          <w:rFonts w:ascii="微软雅黑" w:hAnsi="微软雅黑" w:eastAsia="微软雅黑" w:cs="微软雅黑"/>
          <w:sz w:val="48"/>
          <w:szCs w:val="48"/>
        </w:rPr>
      </w:pPr>
      <w:bookmarkStart w:id="76" w:name="_GoBack"/>
      <w:bookmarkEnd w:id="76"/>
    </w:p>
    <w:p w14:paraId="782D204A">
      <w:pPr>
        <w:spacing w:before="206" w:line="206" w:lineRule="auto"/>
        <w:ind w:left="4064"/>
        <w:rPr>
          <w:rFonts w:ascii="微软雅黑" w:hAnsi="微软雅黑" w:eastAsia="微软雅黑" w:cs="微软雅黑"/>
          <w:sz w:val="48"/>
          <w:szCs w:val="48"/>
        </w:rPr>
      </w:pPr>
    </w:p>
    <w:p w14:paraId="78642FC3">
      <w:pPr>
        <w:spacing w:before="206" w:line="206" w:lineRule="auto"/>
        <w:ind w:left="4064"/>
        <w:rPr>
          <w:rFonts w:ascii="微软雅黑" w:hAnsi="微软雅黑" w:eastAsia="微软雅黑" w:cs="微软雅黑"/>
          <w:sz w:val="48"/>
          <w:szCs w:val="48"/>
        </w:rPr>
      </w:pPr>
    </w:p>
    <w:p w14:paraId="37342F24">
      <w:pPr>
        <w:spacing w:before="206" w:line="206" w:lineRule="auto"/>
        <w:ind w:left="4064"/>
        <w:rPr>
          <w:rFonts w:ascii="微软雅黑" w:hAnsi="微软雅黑" w:eastAsia="微软雅黑" w:cs="微软雅黑"/>
          <w:sz w:val="48"/>
          <w:szCs w:val="48"/>
        </w:rPr>
      </w:pPr>
    </w:p>
    <w:p w14:paraId="4F5454D0">
      <w:pPr>
        <w:spacing w:before="206" w:line="206" w:lineRule="auto"/>
        <w:ind w:left="4064"/>
        <w:rPr>
          <w:rFonts w:ascii="微软雅黑" w:hAnsi="微软雅黑" w:eastAsia="微软雅黑" w:cs="微软雅黑"/>
          <w:sz w:val="48"/>
          <w:szCs w:val="48"/>
        </w:rPr>
      </w:pPr>
    </w:p>
    <w:p w14:paraId="5CC90F1C">
      <w:pPr>
        <w:spacing w:before="206" w:line="206" w:lineRule="auto"/>
        <w:ind w:left="4064"/>
        <w:rPr>
          <w:rFonts w:ascii="微软雅黑" w:hAnsi="微软雅黑" w:eastAsia="微软雅黑" w:cs="微软雅黑"/>
          <w:sz w:val="48"/>
          <w:szCs w:val="48"/>
        </w:rPr>
      </w:pPr>
    </w:p>
    <w:p w14:paraId="6B0302FF">
      <w:pPr>
        <w:spacing w:before="206" w:line="206" w:lineRule="auto"/>
        <w:ind w:left="4064"/>
        <w:rPr>
          <w:rFonts w:ascii="微软雅黑" w:hAnsi="微软雅黑" w:eastAsia="微软雅黑" w:cs="微软雅黑"/>
          <w:sz w:val="48"/>
          <w:szCs w:val="48"/>
        </w:rPr>
      </w:pPr>
    </w:p>
    <w:p w14:paraId="16845ED3">
      <w:pPr>
        <w:spacing w:before="206" w:line="206" w:lineRule="auto"/>
        <w:ind w:left="4064"/>
        <w:rPr>
          <w:rFonts w:ascii="微软雅黑" w:hAnsi="微软雅黑" w:eastAsia="微软雅黑" w:cs="微软雅黑"/>
          <w:sz w:val="48"/>
          <w:szCs w:val="48"/>
        </w:rPr>
      </w:pPr>
    </w:p>
    <w:p w14:paraId="6CE49D98">
      <w:pPr>
        <w:spacing w:before="206" w:line="206" w:lineRule="auto"/>
        <w:ind w:left="4064"/>
        <w:jc w:val="center"/>
        <w:rPr>
          <w:rFonts w:ascii="微软雅黑" w:hAnsi="微软雅黑" w:eastAsia="微软雅黑" w:cs="微软雅黑"/>
          <w:sz w:val="48"/>
          <w:szCs w:val="48"/>
        </w:rPr>
      </w:pPr>
    </w:p>
    <w:p w14:paraId="159F9ED2">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headerReference r:id="rId5" w:type="default"/>
          <w:footerReference r:id="rId6" w:type="default"/>
          <w:pgSz w:w="12240" w:h="15840"/>
          <w:pgMar w:top="1587" w:right="1451" w:bottom="1587" w:left="1593" w:header="0" w:footer="578" w:gutter="0"/>
          <w:pgNumType w:fmt="decimal" w:start="1"/>
          <w:cols w:space="0" w:num="1"/>
          <w:rtlGutter w:val="0"/>
          <w:docGrid w:linePitch="0" w:charSpace="0"/>
        </w:sectPr>
      </w:pPr>
    </w:p>
    <w:sdt>
      <w:sdtPr>
        <w:rPr>
          <w:rFonts w:ascii="宋体" w:hAnsi="宋体" w:eastAsia="宋体" w:cs="Arial"/>
          <w:snapToGrid w:val="0"/>
          <w:color w:val="000000"/>
          <w:kern w:val="0"/>
          <w:sz w:val="21"/>
          <w:szCs w:val="21"/>
          <w:lang w:val="en-US" w:eastAsia="en-US" w:bidi="ar-SA"/>
        </w:rPr>
        <w:id w:val="147474630"/>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BE715A9">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5BC59E2B">
          <w:pPr>
            <w:spacing w:before="0" w:beforeLines="0" w:after="0" w:afterLines="0" w:line="240" w:lineRule="auto"/>
            <w:ind w:left="0" w:leftChars="0" w:right="0" w:rightChars="0" w:firstLine="0" w:firstLineChars="0"/>
            <w:jc w:val="center"/>
          </w:pPr>
          <w:r>
            <w:rPr>
              <w:rFonts w:ascii="宋体" w:hAnsi="宋体" w:eastAsia="宋体"/>
              <w:b/>
              <w:bCs/>
              <w:sz w:val="32"/>
              <w:szCs w:val="32"/>
            </w:rPr>
            <w:t>目录</w:t>
          </w:r>
        </w:p>
        <w:p w14:paraId="3374AA0F">
          <w:pPr>
            <w:pStyle w:val="12"/>
            <w:tabs>
              <w:tab w:val="right" w:leader="dot" w:pos="9196"/>
            </w:tabs>
            <w:rPr>
              <w:b w:val="0"/>
              <w:bCs w:val="0"/>
            </w:rPr>
          </w:pPr>
          <w:r>
            <w:fldChar w:fldCharType="begin"/>
          </w:r>
          <w:r>
            <w:instrText xml:space="preserve">TOC \o "1-3" \h \u </w:instrText>
          </w:r>
          <w:r>
            <w:fldChar w:fldCharType="separate"/>
          </w:r>
        </w:p>
        <w:p w14:paraId="6AA51392">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_Toc15054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一、总则</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_Toc15054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6A118A23">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_Toc28753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（一）编制目的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_Toc28753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434B3426">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_Toc14707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（二）编制依据</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_Toc14707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3F329C76">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_Toc5370 </w:instrText>
          </w:r>
          <w:r>
            <w:rPr>
              <w:rFonts w:hint="eastAsia" w:ascii="Arial" w:hAnsi="Arial" w:eastAsia="Arial" w:cs="Arial"/>
              <w:b w:val="0"/>
              <w:bCs w:val="0"/>
              <w:lang w:eastAsia="zh-CN"/>
            </w:rPr>
            <w:fldChar w:fldCharType="separate"/>
          </w:r>
          <w:r>
            <w:rPr>
              <w:rFonts w:hint="eastAsia" w:ascii="Arial" w:hAnsi="Arial" w:eastAsia="Arial" w:cs="Arial"/>
              <w:b w:val="0"/>
              <w:bCs w:val="0"/>
              <w:lang w:val="en-US" w:eastAsia="en-US"/>
            </w:rPr>
            <w:t>（三）适用范围</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_Toc5370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FB37A40">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_Toc16850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（四）工作原则</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_Toc16850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34762F9">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_Toc4208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二、组织指挥体系</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_Toc4208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30C0990A">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_Toc10965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（一）区突发环境事件应急指挥部</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_Toc10965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0762A9E">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_Toc4986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（二）区应急指挥部办公室</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_Toc4986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10</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1490E3D">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_Toc21467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（三）区突发环境事件现场指挥机构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_Toc21467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10</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6BA65D00">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_Toc26270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（四）镇（街道）突发环境事件应急指挥机构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_Toc26270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11</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3A939936">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_Toc25809 </w:instrText>
          </w:r>
          <w:r>
            <w:rPr>
              <w:rFonts w:hint="eastAsia" w:ascii="Arial" w:hAnsi="Arial" w:eastAsia="Arial" w:cs="Arial"/>
              <w:b w:val="0"/>
              <w:bCs w:val="0"/>
              <w:lang w:eastAsia="zh-CN"/>
            </w:rPr>
            <w:fldChar w:fldCharType="separate"/>
          </w:r>
          <w:r>
            <w:rPr>
              <w:rFonts w:hint="eastAsia" w:ascii="Arial" w:hAnsi="Arial" w:eastAsia="Arial" w:cs="Arial"/>
              <w:b w:val="0"/>
              <w:bCs w:val="0"/>
              <w:lang w:val="en-US" w:eastAsia="en-US"/>
            </w:rPr>
            <w:t>（五）</w:t>
          </w:r>
          <w:r>
            <w:rPr>
              <w:rFonts w:hint="eastAsia" w:ascii="Arial" w:hAnsi="Arial" w:eastAsia="Arial" w:cs="Arial"/>
              <w:b w:val="0"/>
              <w:bCs w:val="0"/>
              <w:lang w:eastAsia="zh-CN"/>
            </w:rPr>
            <w:t>专家组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_Toc25809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11</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F1D5D52">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_Toc28725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三、运行机制</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_Toc28725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11</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5884757">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_Toc32706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（一）风险防控</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_Toc32706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12</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656B1DBD">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_Toc12513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（二）监测预警</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_Toc12513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12</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BEF3FEB">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_Toc24417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1.监测</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_Toc24417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12</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175536D4">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_Toc10939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2.预警</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_Toc10939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13</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6A9D328">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_Toc11980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（三）应急处置与救援</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_Toc11980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6D4EB99C">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_Toc28716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1.信息报告</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_Toc28716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176CF03C">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_Toc901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2.响应启动</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_Toc901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17</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C973968">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_Toc17022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3.响应措施</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_Toc17022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19</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56781DBC">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_Toc23605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4.社会动员</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_Toc23605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AE7F036">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_Toc1562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5.响应结束</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_Toc1562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5A9804ED">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_Toc29311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（四）后期工作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_Toc29311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5BC853E5">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_Toc16778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1.损害评估和事件调查</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_Toc16778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2C1DA4F">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_Toc24681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2.善后处置</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_Toc24681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86B4F63">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_Toc17849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四、应急保障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_Toc17849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FDAA6C8">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_Toc24111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（一）救援队伍保障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_Toc24111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5B41045">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_Toc20746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（二）资金保障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_Toc20746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27</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35B0122B">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_Toc17268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（三）物资保障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_Toc17268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27</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5E25F204">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_Toc19508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（四）交通和通讯保障</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_Toc19508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27</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7D8B1FB">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_Toc3884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（五）保险制度</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_Toc3884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28</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AB664A6">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_Toc30478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五、监督管理</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_Toc30478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28</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63E09E2F">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_Toc5050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（一）预案演练和宣传培训</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_Toc5050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28</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4C546588">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_Toc19631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（二）责任与奖惩</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_Toc19631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29</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01383E1">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_Toc4371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六、附则</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_Toc4371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29</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512CEF87">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_Toc24971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（一）名词术语</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_Toc24971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29</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78EB076A">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_Toc5352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（二）预案管理</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_Toc5352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29</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26295A2D">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_Toc21363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（三）预案实施</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_Toc21363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30</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295FBBEB">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_Toc31007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七、附件</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_Toc31007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30</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2AEFB005">
          <w:pPr>
            <w:pStyle w:val="13"/>
            <w:tabs>
              <w:tab w:val="right" w:leader="dot" w:pos="9196"/>
            </w:tabs>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_Toc25251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（一）突发环境事件分级标准</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_Toc25251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30</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2332042D">
          <w:pPr>
            <w:pStyle w:val="13"/>
            <w:tabs>
              <w:tab w:val="right" w:leader="dot" w:pos="9196"/>
            </w:tabs>
            <w:ind w:firstLine="200" w:firstLineChars="100"/>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_Toc23338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1.特别重大突发环境事件</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_Toc23338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30</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33BAC32F">
          <w:pPr>
            <w:pStyle w:val="13"/>
            <w:tabs>
              <w:tab w:val="right" w:leader="dot" w:pos="9196"/>
            </w:tabs>
            <w:ind w:firstLine="200" w:firstLineChars="100"/>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_Toc31482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2.重大突发环境事件</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_Toc31482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31</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02819BB7">
          <w:pPr>
            <w:pStyle w:val="13"/>
            <w:tabs>
              <w:tab w:val="right" w:leader="dot" w:pos="9196"/>
            </w:tabs>
            <w:ind w:firstLine="200" w:firstLineChars="100"/>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_Toc551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3.较大突发环境事件</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_Toc551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31</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045F1FD6">
          <w:pPr>
            <w:pStyle w:val="13"/>
            <w:tabs>
              <w:tab w:val="right" w:leader="dot" w:pos="9196"/>
            </w:tabs>
            <w:ind w:firstLine="200" w:firstLineChars="100"/>
            <w:rPr>
              <w:rFonts w:hint="default" w:ascii="Arial" w:hAnsi="Arial" w:eastAsia="Arial" w:cs="Arial"/>
              <w:b w:val="0"/>
              <w:bCs w:val="0"/>
              <w:lang w:eastAsia="zh-CN"/>
            </w:rPr>
          </w:pP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HYPERLINK \l _Toc9887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4.一般突发环境事件</w:t>
          </w:r>
          <w:r>
            <w:rPr>
              <w:rFonts w:hint="default" w:ascii="Arial" w:hAnsi="Arial" w:eastAsia="Arial" w:cs="Arial"/>
              <w:b w:val="0"/>
              <w:bCs w:val="0"/>
              <w:lang w:eastAsia="zh-CN"/>
            </w:rPr>
            <w:tab/>
          </w:r>
          <w:r>
            <w:rPr>
              <w:rFonts w:hint="default" w:ascii="Arial" w:hAnsi="Arial" w:eastAsia="Arial" w:cs="Arial"/>
              <w:b w:val="0"/>
              <w:bCs w:val="0"/>
              <w:lang w:eastAsia="zh-CN"/>
            </w:rPr>
            <w:fldChar w:fldCharType="begin"/>
          </w:r>
          <w:r>
            <w:rPr>
              <w:rFonts w:hint="default" w:ascii="Arial" w:hAnsi="Arial" w:eastAsia="Arial" w:cs="Arial"/>
              <w:b w:val="0"/>
              <w:bCs w:val="0"/>
              <w:lang w:eastAsia="zh-CN"/>
            </w:rPr>
            <w:instrText xml:space="preserve"> PAGEREF _Toc9887 \h </w:instrText>
          </w:r>
          <w:r>
            <w:rPr>
              <w:rFonts w:hint="default" w:ascii="Arial" w:hAnsi="Arial" w:eastAsia="Arial" w:cs="Arial"/>
              <w:b w:val="0"/>
              <w:bCs w:val="0"/>
              <w:lang w:eastAsia="zh-CN"/>
            </w:rPr>
            <w:fldChar w:fldCharType="separate"/>
          </w:r>
          <w:r>
            <w:rPr>
              <w:rFonts w:hint="default" w:ascii="Arial" w:hAnsi="Arial" w:eastAsia="Arial" w:cs="Arial"/>
              <w:b w:val="0"/>
              <w:bCs w:val="0"/>
              <w:lang w:eastAsia="zh-CN"/>
            </w:rPr>
            <w:t>32</w:t>
          </w:r>
          <w:r>
            <w:rPr>
              <w:rFonts w:hint="default" w:ascii="Arial" w:hAnsi="Arial" w:eastAsia="Arial" w:cs="Arial"/>
              <w:b w:val="0"/>
              <w:bCs w:val="0"/>
              <w:lang w:eastAsia="zh-CN"/>
            </w:rPr>
            <w:fldChar w:fldCharType="end"/>
          </w:r>
          <w:r>
            <w:rPr>
              <w:rFonts w:hint="default" w:ascii="Arial" w:hAnsi="Arial" w:eastAsia="Arial" w:cs="Arial"/>
              <w:b w:val="0"/>
              <w:bCs w:val="0"/>
              <w:lang w:eastAsia="zh-CN"/>
            </w:rPr>
            <w:fldChar w:fldCharType="end"/>
          </w:r>
        </w:p>
        <w:p w14:paraId="1CE83874">
          <w:pPr>
            <w:pStyle w:val="13"/>
            <w:tabs>
              <w:tab w:val="right" w:leader="dot" w:pos="9196"/>
            </w:tabs>
            <w:rPr>
              <w:rFonts w:hint="default" w:ascii="Arial" w:hAnsi="Arial" w:eastAsia="Arial" w:cs="Arial"/>
              <w:b w:val="0"/>
              <w:bCs w:val="0"/>
              <w:lang w:eastAsia="zh-CN"/>
            </w:rPr>
          </w:pPr>
        </w:p>
        <w:p w14:paraId="397E59A9">
          <w:pPr>
            <w:pStyle w:val="13"/>
            <w:tabs>
              <w:tab w:val="right" w:leader="dot" w:pos="9196"/>
            </w:tabs>
            <w:rPr>
              <w:rFonts w:hint="eastAsia" w:ascii="Arial" w:hAnsi="Arial" w:eastAsia="Arial" w:cs="Arial"/>
              <w:b w:val="0"/>
              <w:bCs w:val="0"/>
              <w:lang w:eastAsia="zh-CN"/>
            </w:rPr>
          </w:pPr>
        </w:p>
        <w:p w14:paraId="3F04B248">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_Toc6189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突发环境事件分级标准等级指标表</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_Toc6189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33</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13BF86BC">
          <w:pPr>
            <w:pStyle w:val="13"/>
            <w:tabs>
              <w:tab w:val="right" w:leader="dot" w:pos="9196"/>
            </w:tabs>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_Toc16339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（二）区应急指挥部工作组及其主要职责</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_Toc16339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415E61DD">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_Toc18523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1.综合协调组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_Toc18523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343C74FB">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_Toc4874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2.污染处置组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_Toc4874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34</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E543A75">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_Toc7709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3.专家咨询组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_Toc7709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0CD2F696">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_Toc13233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4.应急监测组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_Toc13233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B16AC46">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_Toc9721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5.医学救援组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_Toc9721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35</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5125F7FB">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_Toc28618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6.应急保障组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_Toc28618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24EB828C">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_Toc17231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7.舆情宣传组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_Toc17231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36</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7E5952E0">
          <w:pPr>
            <w:pStyle w:val="13"/>
            <w:tabs>
              <w:tab w:val="right" w:leader="dot" w:pos="9196"/>
            </w:tabs>
            <w:ind w:firstLine="200" w:firstLineChars="100"/>
            <w:rPr>
              <w:rFonts w:hint="eastAsia" w:ascii="Arial" w:hAnsi="Arial" w:eastAsia="Arial" w:cs="Arial"/>
              <w:b w:val="0"/>
              <w:bCs w:val="0"/>
              <w:lang w:eastAsia="zh-CN"/>
            </w:rPr>
          </w:pP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HYPERLINK \l _Toc15623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8.社会稳定组</w:t>
          </w:r>
          <w:r>
            <w:rPr>
              <w:rFonts w:hint="eastAsia" w:ascii="Arial" w:hAnsi="Arial" w:eastAsia="Arial" w:cs="Arial"/>
              <w:b w:val="0"/>
              <w:bCs w:val="0"/>
              <w:lang w:eastAsia="zh-CN"/>
            </w:rPr>
            <w:tab/>
          </w:r>
          <w:r>
            <w:rPr>
              <w:rFonts w:hint="eastAsia" w:ascii="Arial" w:hAnsi="Arial" w:eastAsia="Arial" w:cs="Arial"/>
              <w:b w:val="0"/>
              <w:bCs w:val="0"/>
              <w:lang w:eastAsia="zh-CN"/>
            </w:rPr>
            <w:fldChar w:fldCharType="begin"/>
          </w:r>
          <w:r>
            <w:rPr>
              <w:rFonts w:hint="eastAsia" w:ascii="Arial" w:hAnsi="Arial" w:eastAsia="Arial" w:cs="Arial"/>
              <w:b w:val="0"/>
              <w:bCs w:val="0"/>
              <w:lang w:eastAsia="zh-CN"/>
            </w:rPr>
            <w:instrText xml:space="preserve"> PAGEREF _Toc15623 \h </w:instrText>
          </w:r>
          <w:r>
            <w:rPr>
              <w:rFonts w:hint="eastAsia" w:ascii="Arial" w:hAnsi="Arial" w:eastAsia="Arial" w:cs="Arial"/>
              <w:b w:val="0"/>
              <w:bCs w:val="0"/>
              <w:lang w:eastAsia="zh-CN"/>
            </w:rPr>
            <w:fldChar w:fldCharType="separate"/>
          </w:r>
          <w:r>
            <w:rPr>
              <w:rFonts w:hint="eastAsia" w:ascii="Arial" w:hAnsi="Arial" w:eastAsia="Arial" w:cs="Arial"/>
              <w:b w:val="0"/>
              <w:bCs w:val="0"/>
              <w:lang w:eastAsia="zh-CN"/>
            </w:rPr>
            <w:t>37</w:t>
          </w:r>
          <w:r>
            <w:rPr>
              <w:rFonts w:hint="eastAsia" w:ascii="Arial" w:hAnsi="Arial" w:eastAsia="Arial" w:cs="Arial"/>
              <w:b w:val="0"/>
              <w:bCs w:val="0"/>
              <w:lang w:eastAsia="zh-CN"/>
            </w:rPr>
            <w:fldChar w:fldCharType="end"/>
          </w:r>
          <w:r>
            <w:rPr>
              <w:rFonts w:hint="eastAsia" w:ascii="Arial" w:hAnsi="Arial" w:eastAsia="Arial" w:cs="Arial"/>
              <w:b w:val="0"/>
              <w:bCs w:val="0"/>
              <w:lang w:eastAsia="zh-CN"/>
            </w:rPr>
            <w:fldChar w:fldCharType="end"/>
          </w:r>
        </w:p>
        <w:p w14:paraId="157E9D27">
          <w:r>
            <w:fldChar w:fldCharType="end"/>
          </w:r>
        </w:p>
      </w:sdtContent>
    </w:sdt>
    <w:sdt>
      <w:sdtPr>
        <w:rPr>
          <w:rFonts w:hint="eastAsia" w:ascii="楷体" w:hAnsi="楷体" w:eastAsia="楷体" w:cs="楷体"/>
          <w:sz w:val="24"/>
          <w:szCs w:val="24"/>
        </w:rPr>
        <w:id w:val="2"/>
        <w:showingPlcHdr/>
        <w:docPartObj>
          <w:docPartGallery w:val="Table of Contents"/>
          <w:docPartUnique/>
        </w:docPartObj>
      </w:sdtPr>
      <w:sdtEndPr>
        <w:rPr>
          <w:rFonts w:hint="eastAsia" w:ascii="Times New Roman" w:hAnsi="Times New Roman" w:eastAsia="Times New Roman" w:cs="Times New Roman"/>
          <w:sz w:val="19"/>
          <w:szCs w:val="19"/>
        </w:rPr>
      </w:sdtEndPr>
      <w:sdtContent>
        <w:p w14:paraId="51CDB883">
          <w:pPr>
            <w:pStyle w:val="5"/>
            <w:tabs>
              <w:tab w:val="right" w:leader="dot" w:pos="9170"/>
            </w:tabs>
            <w:spacing w:before="114" w:line="228" w:lineRule="auto"/>
            <w:ind w:left="845"/>
          </w:pPr>
        </w:p>
      </w:sdtContent>
    </w:sdt>
    <w:p w14:paraId="4A8924DD">
      <w:pPr>
        <w:spacing w:line="228" w:lineRule="auto"/>
        <w:sectPr>
          <w:footerReference r:id="rId7" w:type="default"/>
          <w:pgSz w:w="12240" w:h="15840"/>
          <w:pgMar w:top="1587" w:right="1451" w:bottom="1587" w:left="1593" w:header="0" w:footer="578" w:gutter="0"/>
          <w:pgNumType w:fmt="decimal" w:start="2"/>
          <w:cols w:space="0" w:num="1"/>
          <w:rtlGutter w:val="0"/>
          <w:docGrid w:linePitch="0" w:charSpace="0"/>
        </w:sectPr>
      </w:pPr>
    </w:p>
    <w:p w14:paraId="5E7B7D3C">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黑体" w:hAnsi="黑体" w:eastAsia="黑体" w:cs="黑体"/>
          <w:szCs w:val="31"/>
        </w:rPr>
      </w:pPr>
      <w:bookmarkStart w:id="1" w:name="_Toc15054"/>
      <w:r>
        <w:t>一、总则</w:t>
      </w:r>
      <w:bookmarkEnd w:id="1"/>
    </w:p>
    <w:p w14:paraId="0D70D80A">
      <w:pPr>
        <w:pStyle w:val="3"/>
        <w:bidi w:val="0"/>
        <w:ind w:firstLine="643" w:firstLineChars="200"/>
      </w:pPr>
      <w:bookmarkStart w:id="2" w:name="_Toc28753"/>
      <w:r>
        <w:t>（一）编制目的</w:t>
      </w:r>
      <w:bookmarkEnd w:id="2"/>
    </w:p>
    <w:p w14:paraId="60F92547">
      <w:pPr>
        <w:spacing w:before="221" w:line="357" w:lineRule="auto"/>
        <w:ind w:left="7" w:firstLine="638"/>
        <w:jc w:val="both"/>
        <w:rPr>
          <w:rFonts w:ascii="仿宋" w:hAnsi="仿宋" w:eastAsia="仿宋" w:cs="仿宋"/>
          <w:sz w:val="31"/>
          <w:szCs w:val="31"/>
        </w:rPr>
      </w:pPr>
      <w:r>
        <w:rPr>
          <w:rFonts w:ascii="仿宋" w:hAnsi="仿宋" w:eastAsia="仿宋" w:cs="仿宋"/>
          <w:spacing w:val="6"/>
          <w:sz w:val="32"/>
          <w:szCs w:val="32"/>
        </w:rPr>
        <w:t>建立健全突发环境事件应对工作机制，科学有</w:t>
      </w:r>
      <w:r>
        <w:rPr>
          <w:rFonts w:ascii="仿宋" w:hAnsi="仿宋" w:eastAsia="仿宋" w:cs="仿宋"/>
          <w:spacing w:val="5"/>
          <w:sz w:val="32"/>
          <w:szCs w:val="32"/>
        </w:rPr>
        <w:t>序高效应对突发</w:t>
      </w:r>
      <w:r>
        <w:rPr>
          <w:rFonts w:ascii="仿宋" w:hAnsi="仿宋" w:eastAsia="仿宋" w:cs="仿宋"/>
          <w:spacing w:val="-1"/>
          <w:sz w:val="32"/>
          <w:szCs w:val="32"/>
        </w:rPr>
        <w:t>环境事件，保障人民群众生命财产安全和环境安全，</w:t>
      </w:r>
      <w:r>
        <w:rPr>
          <w:rFonts w:ascii="仿宋" w:hAnsi="仿宋" w:eastAsia="仿宋" w:cs="仿宋"/>
          <w:spacing w:val="-2"/>
          <w:sz w:val="32"/>
          <w:szCs w:val="32"/>
        </w:rPr>
        <w:t>促进社会全面、</w:t>
      </w:r>
      <w:r>
        <w:rPr>
          <w:rFonts w:ascii="仿宋" w:hAnsi="仿宋" w:eastAsia="仿宋" w:cs="仿宋"/>
          <w:spacing w:val="6"/>
          <w:sz w:val="32"/>
          <w:szCs w:val="32"/>
        </w:rPr>
        <w:t>协调、可持续发展。</w:t>
      </w:r>
    </w:p>
    <w:p w14:paraId="3979FD05">
      <w:pPr>
        <w:pStyle w:val="3"/>
        <w:bidi w:val="0"/>
        <w:ind w:firstLine="643" w:firstLineChars="200"/>
        <w:rPr>
          <w:rFonts w:ascii="Arial" w:hAnsi="Arial"/>
        </w:rPr>
      </w:pPr>
      <w:bookmarkStart w:id="3" w:name="_Toc14707"/>
      <w:r>
        <w:rPr>
          <w:rFonts w:ascii="Arial" w:hAnsi="Arial"/>
        </w:rPr>
        <w:t>（二）编制依据</w:t>
      </w:r>
      <w:bookmarkEnd w:id="3"/>
    </w:p>
    <w:p w14:paraId="7D0F86E0">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73" w:firstLine="642"/>
        <w:jc w:val="both"/>
        <w:textAlignment w:val="baseline"/>
        <w:rPr>
          <w:rFonts w:ascii="仿宋" w:hAnsi="仿宋" w:eastAsia="仿宋" w:cs="仿宋"/>
          <w:sz w:val="32"/>
          <w:szCs w:val="32"/>
        </w:rPr>
      </w:pPr>
      <w:r>
        <w:rPr>
          <w:rFonts w:ascii="仿宋" w:hAnsi="仿宋" w:eastAsia="仿宋" w:cs="仿宋"/>
          <w:spacing w:val="6"/>
          <w:sz w:val="32"/>
          <w:szCs w:val="32"/>
        </w:rPr>
        <w:t>依据《中华人民共和国环境保护法》《中华人民共和</w:t>
      </w:r>
      <w:r>
        <w:rPr>
          <w:rFonts w:ascii="仿宋" w:hAnsi="仿宋" w:eastAsia="仿宋" w:cs="仿宋"/>
          <w:spacing w:val="5"/>
          <w:sz w:val="32"/>
          <w:szCs w:val="32"/>
        </w:rPr>
        <w:t>国突发事</w:t>
      </w:r>
      <w:r>
        <w:rPr>
          <w:rFonts w:ascii="仿宋" w:hAnsi="仿宋" w:eastAsia="仿宋" w:cs="仿宋"/>
          <w:spacing w:val="6"/>
          <w:sz w:val="32"/>
          <w:szCs w:val="32"/>
        </w:rPr>
        <w:t>件应对法》《突发环境事件应急管理办法》《突发事件应急预案管理办法》《国家突发公共事件总体应急预案》《国家突发环境事件应急预案》《突发环境事件信息报告办法》《突发环境事件调查处理办法》《广东省突发事件应对条例》《广东省突发事件总体应急预案》《广东省突发事件预警信息发布管理办法》《广东省突发环境事件应急预案》《汕头市突发事件应急委员会工作规则》《汕头</w:t>
      </w:r>
      <w:r>
        <w:rPr>
          <w:rFonts w:ascii="仿宋" w:hAnsi="仿宋" w:eastAsia="仿宋" w:cs="仿宋"/>
          <w:spacing w:val="7"/>
          <w:sz w:val="32"/>
          <w:szCs w:val="32"/>
        </w:rPr>
        <w:t>市突发事件应急委员会办公室工作规则》等法律法规及有关规定，结合汕头实际，制定本预案。</w:t>
      </w:r>
    </w:p>
    <w:p w14:paraId="0BDBA013">
      <w:pPr>
        <w:pStyle w:val="3"/>
        <w:bidi w:val="0"/>
        <w:rPr>
          <w:rFonts w:ascii="楷体" w:hAnsi="楷体" w:eastAsia="楷体" w:cs="楷体"/>
          <w:szCs w:val="32"/>
        </w:rPr>
      </w:pPr>
      <w:bookmarkStart w:id="4" w:name="_Toc5370"/>
      <w:r>
        <w:rPr>
          <w:lang w:val="en-US" w:eastAsia="en-US"/>
        </w:rPr>
        <w:t>（三）适用范围</w:t>
      </w:r>
      <w:bookmarkEnd w:id="4"/>
    </w:p>
    <w:p w14:paraId="7225535F">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73" w:firstLine="642"/>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本预案适用于本</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行政区域内突发环境事件应对工作。核事故及辐射事故、海上溢油事件、船舶污染事件以及重污染天气的应对工作，适用相应应急预案的规定。</w:t>
      </w:r>
    </w:p>
    <w:p w14:paraId="1503F578">
      <w:pPr>
        <w:pStyle w:val="3"/>
        <w:bidi w:val="0"/>
        <w:rPr>
          <w:rFonts w:ascii="楷体" w:hAnsi="楷体" w:eastAsia="楷体" w:cs="楷体"/>
          <w:szCs w:val="31"/>
        </w:rPr>
      </w:pPr>
      <w:bookmarkStart w:id="5" w:name="_Toc16850"/>
      <w:r>
        <w:rPr>
          <w:rFonts w:hint="eastAsia"/>
        </w:rPr>
        <w:t>（四）工作原则</w:t>
      </w:r>
      <w:bookmarkEnd w:id="5"/>
    </w:p>
    <w:p w14:paraId="4270FD45">
      <w:pPr>
        <w:spacing w:line="220" w:lineRule="auto"/>
        <w:rPr>
          <w:rFonts w:ascii="楷体" w:hAnsi="楷体" w:eastAsia="楷体" w:cs="楷体"/>
          <w:sz w:val="31"/>
          <w:szCs w:val="31"/>
        </w:rPr>
        <w:sectPr>
          <w:footerReference r:id="rId8" w:type="default"/>
          <w:pgSz w:w="12240" w:h="15840"/>
          <w:pgMar w:top="1440" w:right="1803" w:bottom="1440" w:left="1803" w:header="0" w:footer="578" w:gutter="0"/>
          <w:pgNumType w:fmt="decimal"/>
          <w:cols w:space="0" w:num="1"/>
          <w:rtlGutter w:val="0"/>
          <w:docGrid w:linePitch="0" w:charSpace="0"/>
        </w:sectPr>
      </w:pPr>
    </w:p>
    <w:p w14:paraId="35CAE9E8">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73" w:firstLine="642"/>
        <w:jc w:val="both"/>
        <w:textAlignment w:val="baseline"/>
        <w:rPr>
          <w:rFonts w:ascii="仿宋" w:hAnsi="仿宋" w:eastAsia="仿宋" w:cs="仿宋"/>
          <w:spacing w:val="6"/>
          <w:sz w:val="31"/>
          <w:szCs w:val="31"/>
        </w:rPr>
      </w:pPr>
      <w:r>
        <w:rPr>
          <w:rFonts w:ascii="仿宋" w:hAnsi="仿宋" w:eastAsia="仿宋" w:cs="仿宋"/>
          <w:spacing w:val="6"/>
          <w:sz w:val="31"/>
          <w:szCs w:val="31"/>
        </w:rPr>
        <w:t>突发环境事件应对工作坚持党的统一领导、分级负责,人民至上、生命至上，属地为主、协调联动，快速反应、科学处置，资源共享、保障有力的原则。突发环境事件发生后，各级人民政府和有关单位立即按照职责分工和相关应急预案开展应急处置工作。</w:t>
      </w:r>
    </w:p>
    <w:p w14:paraId="25639D2A">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Arial" w:hAnsi="Arial"/>
          <w:b/>
        </w:rPr>
      </w:pPr>
      <w:bookmarkStart w:id="6" w:name="_Toc4208"/>
      <w:r>
        <w:rPr>
          <w:rFonts w:ascii="Arial" w:hAnsi="Arial"/>
          <w:b/>
        </w:rPr>
        <w:t>二、组织指挥体系</w:t>
      </w:r>
      <w:bookmarkEnd w:id="6"/>
    </w:p>
    <w:p w14:paraId="2B9108BE">
      <w:pPr>
        <w:pStyle w:val="3"/>
        <w:bidi w:val="0"/>
        <w:rPr>
          <w:rFonts w:ascii="楷体" w:hAnsi="楷体" w:eastAsia="楷体" w:cs="楷体"/>
          <w:szCs w:val="31"/>
        </w:rPr>
      </w:pPr>
      <w:bookmarkStart w:id="7" w:name="_Toc10965"/>
      <w:r>
        <w:t>（一）</w:t>
      </w:r>
      <w:r>
        <w:rPr>
          <w:rFonts w:hint="eastAsia"/>
          <w:lang w:eastAsia="zh-CN"/>
        </w:rPr>
        <w:t>区</w:t>
      </w:r>
      <w:r>
        <w:t>突发环境事件应急指挥部</w:t>
      </w:r>
      <w:bookmarkEnd w:id="7"/>
    </w:p>
    <w:p w14:paraId="1AD360AC">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73" w:firstLine="642"/>
        <w:jc w:val="both"/>
        <w:textAlignment w:val="baseline"/>
        <w:rPr>
          <w:rFonts w:ascii="仿宋" w:hAnsi="仿宋" w:eastAsia="仿宋" w:cs="仿宋"/>
          <w:spacing w:val="6"/>
          <w:sz w:val="31"/>
          <w:szCs w:val="31"/>
        </w:rPr>
      </w:pPr>
      <w:r>
        <w:rPr>
          <w:rFonts w:hint="eastAsia" w:ascii="仿宋" w:hAnsi="仿宋" w:eastAsia="仿宋" w:cs="仿宋"/>
          <w:spacing w:val="6"/>
          <w:sz w:val="31"/>
          <w:szCs w:val="31"/>
          <w:lang w:eastAsia="zh-CN"/>
        </w:rPr>
        <w:t>一般</w:t>
      </w:r>
      <w:r>
        <w:rPr>
          <w:rFonts w:ascii="仿宋" w:hAnsi="仿宋" w:eastAsia="仿宋" w:cs="仿宋"/>
          <w:spacing w:val="6"/>
          <w:sz w:val="31"/>
          <w:szCs w:val="31"/>
        </w:rPr>
        <w:t>以上突发环境事件发生后，由</w:t>
      </w:r>
      <w:r>
        <w:rPr>
          <w:rFonts w:hint="eastAsia" w:ascii="仿宋" w:hAnsi="仿宋" w:eastAsia="仿宋" w:cs="仿宋"/>
          <w:spacing w:val="6"/>
          <w:sz w:val="31"/>
          <w:szCs w:val="31"/>
          <w:lang w:eastAsia="zh-CN"/>
        </w:rPr>
        <w:t>区</w:t>
      </w:r>
      <w:r>
        <w:rPr>
          <w:rFonts w:ascii="仿宋" w:hAnsi="仿宋" w:eastAsia="仿宋" w:cs="仿宋"/>
          <w:spacing w:val="6"/>
          <w:sz w:val="31"/>
          <w:szCs w:val="31"/>
        </w:rPr>
        <w:t>人民政府负责应对并设立</w:t>
      </w:r>
      <w:r>
        <w:rPr>
          <w:rFonts w:hint="eastAsia" w:ascii="仿宋" w:hAnsi="仿宋" w:eastAsia="仿宋" w:cs="仿宋"/>
          <w:spacing w:val="6"/>
          <w:sz w:val="31"/>
          <w:szCs w:val="31"/>
          <w:lang w:eastAsia="zh-CN"/>
        </w:rPr>
        <w:t>区</w:t>
      </w:r>
      <w:r>
        <w:rPr>
          <w:rFonts w:ascii="仿宋" w:hAnsi="仿宋" w:eastAsia="仿宋" w:cs="仿宋"/>
          <w:spacing w:val="6"/>
          <w:sz w:val="31"/>
          <w:szCs w:val="31"/>
        </w:rPr>
        <w:t>突发环境事件应急指挥部（以下简称</w:t>
      </w:r>
      <w:r>
        <w:rPr>
          <w:rFonts w:hint="eastAsia" w:ascii="仿宋" w:hAnsi="仿宋" w:eastAsia="仿宋" w:cs="仿宋"/>
          <w:spacing w:val="6"/>
          <w:sz w:val="31"/>
          <w:szCs w:val="31"/>
          <w:lang w:eastAsia="zh-CN"/>
        </w:rPr>
        <w:t>区</w:t>
      </w:r>
      <w:r>
        <w:rPr>
          <w:rFonts w:ascii="仿宋" w:hAnsi="仿宋" w:eastAsia="仿宋" w:cs="仿宋"/>
          <w:spacing w:val="6"/>
          <w:sz w:val="31"/>
          <w:szCs w:val="31"/>
        </w:rPr>
        <w:t>应急指挥部），作为</w:t>
      </w:r>
      <w:r>
        <w:rPr>
          <w:rFonts w:hint="eastAsia" w:ascii="仿宋" w:hAnsi="仿宋" w:eastAsia="仿宋" w:cs="仿宋"/>
          <w:spacing w:val="6"/>
          <w:sz w:val="31"/>
          <w:szCs w:val="31"/>
          <w:lang w:eastAsia="zh-CN"/>
        </w:rPr>
        <w:t>区</w:t>
      </w:r>
      <w:r>
        <w:rPr>
          <w:rFonts w:ascii="仿宋" w:hAnsi="仿宋" w:eastAsia="仿宋" w:cs="仿宋"/>
          <w:spacing w:val="6"/>
          <w:sz w:val="31"/>
          <w:szCs w:val="31"/>
        </w:rPr>
        <w:t>突发事件应急委员会下设的工作机构，负责统筹突发环境事件及其次生、衍生灾害的应急处置工作，组织开展突发环境事件应对工作。</w:t>
      </w:r>
      <w:r>
        <w:rPr>
          <w:rFonts w:hint="eastAsia" w:ascii="仿宋" w:hAnsi="仿宋" w:eastAsia="仿宋" w:cs="仿宋"/>
          <w:spacing w:val="6"/>
          <w:sz w:val="31"/>
          <w:szCs w:val="31"/>
          <w:lang w:eastAsia="zh-CN"/>
        </w:rPr>
        <w:t>区</w:t>
      </w:r>
      <w:r>
        <w:rPr>
          <w:rFonts w:ascii="仿宋" w:hAnsi="仿宋" w:eastAsia="仿宋" w:cs="仿宋"/>
          <w:spacing w:val="6"/>
          <w:sz w:val="31"/>
          <w:szCs w:val="31"/>
        </w:rPr>
        <w:t>应急指挥部成员单位按照各自职责做好突发环境事件应对相关工作。</w:t>
      </w:r>
    </w:p>
    <w:p w14:paraId="7E77F328">
      <w:pPr>
        <w:keepNext w:val="0"/>
        <w:keepLines w:val="0"/>
        <w:pageBreakBefore w:val="0"/>
        <w:widowControl/>
        <w:kinsoku w:val="0"/>
        <w:wordWrap/>
        <w:overflowPunct/>
        <w:topLinePunct w:val="0"/>
        <w:autoSpaceDE w:val="0"/>
        <w:autoSpaceDN w:val="0"/>
        <w:bidi w:val="0"/>
        <w:adjustRightInd w:val="0"/>
        <w:snapToGrid w:val="0"/>
        <w:spacing w:before="231" w:line="560" w:lineRule="exact"/>
        <w:ind w:left="661"/>
        <w:textAlignment w:val="baseline"/>
        <w:rPr>
          <w:rFonts w:ascii="仿宋" w:hAnsi="仿宋" w:eastAsia="仿宋" w:cs="仿宋"/>
          <w:sz w:val="31"/>
          <w:szCs w:val="31"/>
        </w:rPr>
      </w:pPr>
      <w:r>
        <w:rPr>
          <w:rFonts w:ascii="仿宋" w:hAnsi="仿宋" w:eastAsia="仿宋" w:cs="仿宋"/>
          <w:spacing w:val="5"/>
          <w:sz w:val="31"/>
          <w:szCs w:val="31"/>
        </w:rPr>
        <w:t>总指挥：</w:t>
      </w:r>
      <w:r>
        <w:rPr>
          <w:rFonts w:hint="eastAsia" w:ascii="仿宋" w:hAnsi="仿宋" w:eastAsia="仿宋" w:cs="仿宋"/>
          <w:spacing w:val="5"/>
          <w:sz w:val="31"/>
          <w:szCs w:val="31"/>
          <w:lang w:eastAsia="zh-CN"/>
        </w:rPr>
        <w:t>区</w:t>
      </w:r>
      <w:r>
        <w:rPr>
          <w:rFonts w:ascii="仿宋" w:hAnsi="仿宋" w:eastAsia="仿宋" w:cs="仿宋"/>
          <w:spacing w:val="5"/>
          <w:sz w:val="31"/>
          <w:szCs w:val="31"/>
        </w:rPr>
        <w:t>政府</w:t>
      </w:r>
      <w:r>
        <w:rPr>
          <w:rFonts w:hint="eastAsia" w:ascii="仿宋" w:hAnsi="仿宋" w:eastAsia="仿宋" w:cs="仿宋"/>
          <w:spacing w:val="5"/>
          <w:sz w:val="31"/>
          <w:szCs w:val="31"/>
          <w:lang w:eastAsia="zh-CN"/>
        </w:rPr>
        <w:t>区</w:t>
      </w:r>
      <w:r>
        <w:rPr>
          <w:rFonts w:ascii="仿宋" w:hAnsi="仿宋" w:eastAsia="仿宋" w:cs="仿宋"/>
          <w:spacing w:val="5"/>
          <w:sz w:val="31"/>
          <w:szCs w:val="31"/>
        </w:rPr>
        <w:t>长。</w:t>
      </w:r>
    </w:p>
    <w:p w14:paraId="6E16D950">
      <w:pPr>
        <w:keepNext w:val="0"/>
        <w:keepLines w:val="0"/>
        <w:pageBreakBefore w:val="0"/>
        <w:widowControl/>
        <w:kinsoku w:val="0"/>
        <w:wordWrap/>
        <w:overflowPunct/>
        <w:topLinePunct w:val="0"/>
        <w:autoSpaceDE w:val="0"/>
        <w:autoSpaceDN w:val="0"/>
        <w:bidi w:val="0"/>
        <w:adjustRightInd w:val="0"/>
        <w:snapToGrid w:val="0"/>
        <w:spacing w:before="227" w:line="560" w:lineRule="exact"/>
        <w:ind w:left="644"/>
        <w:textAlignment w:val="baseline"/>
        <w:rPr>
          <w:rFonts w:ascii="仿宋" w:hAnsi="仿宋" w:eastAsia="仿宋" w:cs="仿宋"/>
          <w:sz w:val="31"/>
          <w:szCs w:val="31"/>
        </w:rPr>
      </w:pPr>
      <w:r>
        <w:rPr>
          <w:rFonts w:ascii="仿宋" w:hAnsi="仿宋" w:eastAsia="仿宋" w:cs="仿宋"/>
          <w:spacing w:val="8"/>
          <w:sz w:val="31"/>
          <w:szCs w:val="31"/>
        </w:rPr>
        <w:t>指挥长：</w:t>
      </w:r>
      <w:r>
        <w:rPr>
          <w:rFonts w:hint="eastAsia" w:ascii="仿宋" w:hAnsi="仿宋" w:eastAsia="仿宋" w:cs="仿宋"/>
          <w:spacing w:val="8"/>
          <w:sz w:val="31"/>
          <w:szCs w:val="31"/>
          <w:lang w:eastAsia="zh-CN"/>
        </w:rPr>
        <w:t>区</w:t>
      </w:r>
      <w:r>
        <w:rPr>
          <w:rFonts w:ascii="仿宋" w:hAnsi="仿宋" w:eastAsia="仿宋" w:cs="仿宋"/>
          <w:spacing w:val="8"/>
          <w:sz w:val="31"/>
          <w:szCs w:val="31"/>
        </w:rPr>
        <w:t>政府分管应急管理、生态环境负责同志。</w:t>
      </w:r>
    </w:p>
    <w:p w14:paraId="0734D7A7">
      <w:pPr>
        <w:keepNext w:val="0"/>
        <w:keepLines w:val="0"/>
        <w:pageBreakBefore w:val="0"/>
        <w:widowControl/>
        <w:kinsoku w:val="0"/>
        <w:wordWrap/>
        <w:overflowPunct/>
        <w:topLinePunct w:val="0"/>
        <w:autoSpaceDE w:val="0"/>
        <w:autoSpaceDN w:val="0"/>
        <w:bidi w:val="0"/>
        <w:adjustRightInd w:val="0"/>
        <w:snapToGrid w:val="0"/>
        <w:spacing w:before="230" w:line="560" w:lineRule="exact"/>
        <w:ind w:left="2217" w:leftChars="294" w:hanging="1600" w:hangingChars="500"/>
        <w:textAlignment w:val="baseline"/>
        <w:rPr>
          <w:rFonts w:ascii="仿宋" w:hAnsi="仿宋" w:eastAsia="仿宋" w:cs="仿宋"/>
          <w:color w:val="auto"/>
          <w:spacing w:val="5"/>
          <w:sz w:val="31"/>
          <w:szCs w:val="31"/>
        </w:rPr>
      </w:pPr>
      <w:r>
        <w:rPr>
          <w:rFonts w:ascii="仿宋" w:hAnsi="仿宋" w:eastAsia="仿宋" w:cs="仿宋"/>
          <w:color w:val="auto"/>
          <w:spacing w:val="5"/>
          <w:sz w:val="31"/>
          <w:szCs w:val="31"/>
        </w:rPr>
        <w:t>副指挥长：</w:t>
      </w:r>
      <w:r>
        <w:rPr>
          <w:rFonts w:hint="eastAsia" w:ascii="仿宋" w:hAnsi="仿宋" w:eastAsia="仿宋" w:cs="仿宋"/>
          <w:color w:val="auto"/>
          <w:spacing w:val="5"/>
          <w:sz w:val="31"/>
          <w:szCs w:val="31"/>
          <w:lang w:eastAsia="zh-CN"/>
        </w:rPr>
        <w:t>区委、区政府办公室</w:t>
      </w:r>
      <w:r>
        <w:rPr>
          <w:rFonts w:ascii="仿宋" w:hAnsi="仿宋" w:eastAsia="仿宋" w:cs="仿宋"/>
          <w:color w:val="auto"/>
          <w:spacing w:val="5"/>
          <w:sz w:val="31"/>
          <w:szCs w:val="31"/>
        </w:rPr>
        <w:t>协调相关工作的</w:t>
      </w:r>
      <w:r>
        <w:rPr>
          <w:rFonts w:hint="eastAsia" w:ascii="仿宋" w:hAnsi="仿宋" w:eastAsia="仿宋" w:cs="仿宋"/>
          <w:color w:val="auto"/>
          <w:spacing w:val="5"/>
          <w:sz w:val="31"/>
          <w:szCs w:val="31"/>
          <w:lang w:eastAsia="zh-CN"/>
        </w:rPr>
        <w:t>副主任</w:t>
      </w:r>
      <w:r>
        <w:rPr>
          <w:rFonts w:ascii="仿宋" w:hAnsi="仿宋" w:eastAsia="仿宋" w:cs="仿宋"/>
          <w:color w:val="auto"/>
          <w:spacing w:val="5"/>
          <w:sz w:val="31"/>
          <w:szCs w:val="31"/>
        </w:rPr>
        <w:t>，</w:t>
      </w:r>
      <w:r>
        <w:rPr>
          <w:rFonts w:hint="eastAsia" w:ascii="仿宋" w:hAnsi="仿宋" w:eastAsia="仿宋" w:cs="仿宋"/>
          <w:color w:val="auto"/>
          <w:spacing w:val="5"/>
          <w:sz w:val="31"/>
          <w:szCs w:val="31"/>
          <w:lang w:eastAsia="zh-CN"/>
        </w:rPr>
        <w:t>区</w:t>
      </w:r>
      <w:r>
        <w:rPr>
          <w:rFonts w:ascii="仿宋" w:hAnsi="仿宋" w:eastAsia="仿宋" w:cs="仿宋"/>
          <w:color w:val="auto"/>
          <w:spacing w:val="5"/>
          <w:sz w:val="31"/>
          <w:szCs w:val="31"/>
        </w:rPr>
        <w:t>生态环境局</w:t>
      </w:r>
      <w:r>
        <w:rPr>
          <w:rFonts w:hint="eastAsia" w:ascii="仿宋" w:hAnsi="仿宋" w:eastAsia="仿宋" w:cs="仿宋"/>
          <w:color w:val="auto"/>
          <w:spacing w:val="5"/>
          <w:sz w:val="31"/>
          <w:szCs w:val="31"/>
          <w:lang w:eastAsia="zh-CN"/>
        </w:rPr>
        <w:t>分局、区</w:t>
      </w:r>
      <w:r>
        <w:rPr>
          <w:rFonts w:ascii="仿宋" w:hAnsi="仿宋" w:eastAsia="仿宋" w:cs="仿宋"/>
          <w:color w:val="auto"/>
          <w:spacing w:val="5"/>
          <w:sz w:val="31"/>
          <w:szCs w:val="31"/>
        </w:rPr>
        <w:t>应急管理局主要负责同志。</w:t>
      </w:r>
    </w:p>
    <w:p w14:paraId="6605860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spacing w:val="6"/>
          <w:sz w:val="32"/>
          <w:szCs w:val="32"/>
        </w:rPr>
      </w:pPr>
      <w:r>
        <w:rPr>
          <w:rFonts w:ascii="仿宋" w:hAnsi="仿宋" w:eastAsia="仿宋" w:cs="仿宋"/>
          <w:color w:val="auto"/>
          <w:spacing w:val="9"/>
          <w:sz w:val="31"/>
          <w:szCs w:val="31"/>
        </w:rPr>
        <w:t>成员：</w:t>
      </w:r>
      <w:r>
        <w:rPr>
          <w:rFonts w:hint="eastAsia" w:ascii="仿宋" w:hAnsi="仿宋" w:eastAsia="仿宋" w:cs="仿宋"/>
          <w:color w:val="auto"/>
          <w:spacing w:val="9"/>
          <w:sz w:val="31"/>
          <w:szCs w:val="31"/>
          <w:lang w:eastAsia="zh-CN"/>
        </w:rPr>
        <w:t>区</w:t>
      </w:r>
      <w:r>
        <w:rPr>
          <w:rFonts w:ascii="仿宋" w:hAnsi="仿宋" w:eastAsia="仿宋" w:cs="仿宋"/>
          <w:color w:val="auto"/>
          <w:spacing w:val="9"/>
          <w:sz w:val="31"/>
          <w:szCs w:val="31"/>
        </w:rPr>
        <w:t>委宣传部、</w:t>
      </w:r>
      <w:r>
        <w:rPr>
          <w:rFonts w:hint="eastAsia" w:ascii="仿宋" w:hAnsi="仿宋" w:eastAsia="仿宋" w:cs="仿宋"/>
          <w:color w:val="auto"/>
          <w:spacing w:val="9"/>
          <w:sz w:val="31"/>
          <w:szCs w:val="31"/>
          <w:lang w:eastAsia="zh-CN"/>
        </w:rPr>
        <w:t>区</w:t>
      </w:r>
      <w:r>
        <w:rPr>
          <w:rFonts w:ascii="仿宋" w:hAnsi="仿宋" w:eastAsia="仿宋" w:cs="仿宋"/>
          <w:color w:val="auto"/>
          <w:spacing w:val="9"/>
          <w:sz w:val="31"/>
          <w:szCs w:val="31"/>
        </w:rPr>
        <w:t>委政法委、</w:t>
      </w:r>
      <w:r>
        <w:rPr>
          <w:rFonts w:hint="eastAsia" w:ascii="仿宋" w:hAnsi="仿宋" w:eastAsia="仿宋" w:cs="仿宋"/>
          <w:color w:val="auto"/>
          <w:spacing w:val="9"/>
          <w:sz w:val="31"/>
          <w:szCs w:val="31"/>
          <w:lang w:eastAsia="zh-CN"/>
        </w:rPr>
        <w:t>区</w:t>
      </w:r>
      <w:r>
        <w:rPr>
          <w:rFonts w:ascii="仿宋" w:hAnsi="仿宋" w:eastAsia="仿宋" w:cs="仿宋"/>
          <w:color w:val="auto"/>
          <w:spacing w:val="9"/>
          <w:sz w:val="31"/>
          <w:szCs w:val="31"/>
        </w:rPr>
        <w:t>委网信办、</w:t>
      </w:r>
      <w:r>
        <w:rPr>
          <w:rFonts w:hint="eastAsia" w:ascii="仿宋" w:hAnsi="仿宋" w:eastAsia="仿宋" w:cs="仿宋"/>
          <w:color w:val="auto"/>
          <w:spacing w:val="9"/>
          <w:sz w:val="31"/>
          <w:szCs w:val="31"/>
          <w:lang w:eastAsia="zh-CN"/>
        </w:rPr>
        <w:t>潮阳海事处</w:t>
      </w:r>
      <w:r>
        <w:rPr>
          <w:rFonts w:ascii="仿宋" w:hAnsi="仿宋" w:eastAsia="仿宋" w:cs="仿宋"/>
          <w:color w:val="auto"/>
          <w:spacing w:val="9"/>
          <w:sz w:val="31"/>
          <w:szCs w:val="31"/>
        </w:rPr>
        <w:t>、</w:t>
      </w:r>
      <w:r>
        <w:rPr>
          <w:rFonts w:hint="eastAsia" w:ascii="仿宋" w:hAnsi="仿宋" w:eastAsia="仿宋" w:cs="仿宋"/>
          <w:color w:val="auto"/>
          <w:spacing w:val="-2"/>
          <w:sz w:val="31"/>
          <w:szCs w:val="31"/>
          <w:lang w:eastAsia="zh-CN"/>
        </w:rPr>
        <w:t>区练江办、</w:t>
      </w:r>
      <w:r>
        <w:rPr>
          <w:color w:val="auto"/>
        </w:rPr>
        <w:fldChar w:fldCharType="begin"/>
      </w:r>
      <w:r>
        <w:rPr>
          <w:color w:val="auto"/>
        </w:rPr>
        <w:instrText xml:space="preserve"> HYPERLINK "https://www.shantou.gov.cn/stdp" </w:instrText>
      </w:r>
      <w:r>
        <w:rPr>
          <w:color w:val="auto"/>
        </w:rPr>
        <w:fldChar w:fldCharType="separate"/>
      </w:r>
      <w:r>
        <w:rPr>
          <w:rFonts w:hint="eastAsia" w:ascii="仿宋" w:hAnsi="仿宋" w:eastAsia="仿宋" w:cs="仿宋"/>
          <w:color w:val="auto"/>
          <w:spacing w:val="-2"/>
          <w:sz w:val="31"/>
          <w:szCs w:val="31"/>
          <w:lang w:eastAsia="zh-CN"/>
        </w:rPr>
        <w:t>区</w:t>
      </w:r>
      <w:r>
        <w:rPr>
          <w:rFonts w:ascii="仿宋" w:hAnsi="仿宋" w:eastAsia="仿宋" w:cs="仿宋"/>
          <w:color w:val="auto"/>
          <w:spacing w:val="-2"/>
          <w:sz w:val="31"/>
          <w:szCs w:val="31"/>
        </w:rPr>
        <w:t>发展改革局</w:t>
      </w:r>
      <w:r>
        <w:rPr>
          <w:rFonts w:ascii="仿宋" w:hAnsi="仿宋" w:eastAsia="仿宋" w:cs="仿宋"/>
          <w:color w:val="auto"/>
          <w:spacing w:val="-2"/>
          <w:sz w:val="31"/>
          <w:szCs w:val="31"/>
        </w:rPr>
        <w:fldChar w:fldCharType="end"/>
      </w:r>
      <w:r>
        <w:rPr>
          <w:rFonts w:ascii="仿宋" w:hAnsi="仿宋" w:eastAsia="仿宋" w:cs="仿宋"/>
          <w:color w:val="auto"/>
          <w:spacing w:val="-2"/>
          <w:sz w:val="31"/>
          <w:szCs w:val="31"/>
        </w:rPr>
        <w:t>、</w:t>
      </w:r>
      <w:r>
        <w:rPr>
          <w:rFonts w:hint="eastAsia" w:ascii="仿宋" w:hAnsi="仿宋" w:eastAsia="仿宋" w:cs="仿宋"/>
          <w:color w:val="auto"/>
          <w:spacing w:val="-2"/>
          <w:sz w:val="31"/>
          <w:szCs w:val="31"/>
          <w:lang w:eastAsia="zh-CN"/>
        </w:rPr>
        <w:t>区</w:t>
      </w:r>
      <w:r>
        <w:rPr>
          <w:rFonts w:ascii="仿宋" w:hAnsi="仿宋" w:eastAsia="仿宋" w:cs="仿宋"/>
          <w:color w:val="auto"/>
          <w:spacing w:val="-2"/>
          <w:sz w:val="31"/>
          <w:szCs w:val="31"/>
        </w:rPr>
        <w:t>工业和信息化局、</w:t>
      </w:r>
      <w:r>
        <w:rPr>
          <w:rFonts w:hint="eastAsia" w:ascii="仿宋" w:hAnsi="仿宋" w:eastAsia="仿宋" w:cs="仿宋"/>
          <w:color w:val="auto"/>
          <w:spacing w:val="-2"/>
          <w:sz w:val="31"/>
          <w:szCs w:val="31"/>
          <w:lang w:eastAsia="zh-CN"/>
        </w:rPr>
        <w:t>区</w:t>
      </w:r>
      <w:r>
        <w:rPr>
          <w:rFonts w:ascii="仿宋" w:hAnsi="仿宋" w:eastAsia="仿宋" w:cs="仿宋"/>
          <w:color w:val="auto"/>
          <w:spacing w:val="-2"/>
          <w:sz w:val="31"/>
          <w:szCs w:val="31"/>
        </w:rPr>
        <w:t>公安局、</w:t>
      </w:r>
      <w:r>
        <w:rPr>
          <w:rFonts w:hint="eastAsia" w:ascii="仿宋" w:hAnsi="仿宋" w:eastAsia="仿宋" w:cs="仿宋"/>
          <w:color w:val="auto"/>
          <w:spacing w:val="5"/>
          <w:sz w:val="31"/>
          <w:szCs w:val="31"/>
          <w:lang w:eastAsia="zh-CN"/>
        </w:rPr>
        <w:t>区</w:t>
      </w:r>
      <w:r>
        <w:rPr>
          <w:rFonts w:ascii="仿宋" w:hAnsi="仿宋" w:eastAsia="仿宋" w:cs="仿宋"/>
          <w:color w:val="auto"/>
          <w:spacing w:val="5"/>
          <w:sz w:val="31"/>
          <w:szCs w:val="31"/>
        </w:rPr>
        <w:t>民</w:t>
      </w:r>
      <w:r>
        <w:rPr>
          <w:rFonts w:hint="eastAsia" w:ascii="仿宋" w:hAnsi="仿宋" w:eastAsia="仿宋" w:cs="仿宋"/>
          <w:spacing w:val="6"/>
          <w:sz w:val="32"/>
          <w:szCs w:val="32"/>
        </w:rPr>
        <w:t>政局、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司法局、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财政局、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fldChar w:fldCharType="begin"/>
      </w:r>
      <w:r>
        <w:rPr>
          <w:rFonts w:hint="eastAsia" w:ascii="仿宋" w:hAnsi="仿宋" w:eastAsia="仿宋" w:cs="仿宋"/>
          <w:spacing w:val="6"/>
          <w:sz w:val="32"/>
          <w:szCs w:val="32"/>
        </w:rPr>
        <w:instrText xml:space="preserve"> HYPERLINK "https://www.shantou.gov.cn/zrzyj" </w:instrText>
      </w:r>
      <w:r>
        <w:rPr>
          <w:rFonts w:hint="eastAsia" w:ascii="仿宋" w:hAnsi="仿宋" w:eastAsia="仿宋" w:cs="仿宋"/>
          <w:spacing w:val="6"/>
          <w:sz w:val="32"/>
          <w:szCs w:val="32"/>
        </w:rPr>
        <w:fldChar w:fldCharType="separate"/>
      </w:r>
      <w:r>
        <w:rPr>
          <w:rFonts w:hint="eastAsia" w:ascii="仿宋" w:hAnsi="仿宋" w:eastAsia="仿宋" w:cs="仿宋"/>
          <w:spacing w:val="6"/>
          <w:sz w:val="32"/>
          <w:szCs w:val="32"/>
        </w:rPr>
        <w:t>自然资源</w:t>
      </w:r>
      <w:r>
        <w:rPr>
          <w:rFonts w:hint="eastAsia" w:ascii="仿宋" w:hAnsi="仿宋" w:eastAsia="仿宋" w:cs="仿宋"/>
          <w:spacing w:val="6"/>
          <w:sz w:val="32"/>
          <w:szCs w:val="32"/>
          <w:lang w:eastAsia="zh-CN"/>
        </w:rPr>
        <w:t>分</w:t>
      </w:r>
      <w:r>
        <w:rPr>
          <w:rFonts w:hint="eastAsia" w:ascii="仿宋" w:hAnsi="仿宋" w:eastAsia="仿宋" w:cs="仿宋"/>
          <w:spacing w:val="6"/>
          <w:sz w:val="32"/>
          <w:szCs w:val="32"/>
        </w:rPr>
        <w:t>局</w:t>
      </w:r>
      <w:r>
        <w:rPr>
          <w:rFonts w:hint="eastAsia" w:ascii="仿宋" w:hAnsi="仿宋" w:eastAsia="仿宋" w:cs="仿宋"/>
          <w:spacing w:val="6"/>
          <w:sz w:val="32"/>
          <w:szCs w:val="32"/>
        </w:rPr>
        <w:fldChar w:fldCharType="end"/>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生态环境</w:t>
      </w:r>
      <w:r>
        <w:rPr>
          <w:rFonts w:hint="eastAsia" w:ascii="仿宋" w:hAnsi="仿宋" w:eastAsia="仿宋" w:cs="仿宋"/>
          <w:spacing w:val="6"/>
          <w:sz w:val="32"/>
          <w:szCs w:val="32"/>
          <w:lang w:eastAsia="zh-CN"/>
        </w:rPr>
        <w:t>分</w:t>
      </w:r>
      <w:r>
        <w:rPr>
          <w:rFonts w:hint="eastAsia" w:ascii="仿宋" w:hAnsi="仿宋" w:eastAsia="仿宋" w:cs="仿宋"/>
          <w:spacing w:val="6"/>
          <w:sz w:val="32"/>
          <w:szCs w:val="32"/>
        </w:rPr>
        <w:t>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住房城乡建设局、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交通运输局、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水务局、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农业农村局、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fldChar w:fldCharType="begin"/>
      </w:r>
      <w:r>
        <w:rPr>
          <w:rFonts w:hint="eastAsia" w:ascii="仿宋" w:hAnsi="仿宋" w:eastAsia="仿宋" w:cs="仿宋"/>
          <w:spacing w:val="6"/>
          <w:sz w:val="32"/>
          <w:szCs w:val="32"/>
        </w:rPr>
        <w:instrText xml:space="preserve"> HYPERLINK "https://www.shantou.gov.cn/wgxj" </w:instrText>
      </w:r>
      <w:r>
        <w:rPr>
          <w:rFonts w:hint="eastAsia" w:ascii="仿宋" w:hAnsi="仿宋" w:eastAsia="仿宋" w:cs="仿宋"/>
          <w:spacing w:val="6"/>
          <w:sz w:val="32"/>
          <w:szCs w:val="32"/>
        </w:rPr>
        <w:fldChar w:fldCharType="separate"/>
      </w:r>
      <w:r>
        <w:rPr>
          <w:rFonts w:hint="eastAsia" w:ascii="仿宋" w:hAnsi="仿宋" w:eastAsia="仿宋" w:cs="仿宋"/>
          <w:spacing w:val="6"/>
          <w:sz w:val="32"/>
          <w:szCs w:val="32"/>
        </w:rPr>
        <w:t>文化广电旅游体育局</w:t>
      </w:r>
      <w:r>
        <w:rPr>
          <w:rFonts w:hint="eastAsia" w:ascii="仿宋" w:hAnsi="仿宋" w:eastAsia="仿宋" w:cs="仿宋"/>
          <w:spacing w:val="6"/>
          <w:sz w:val="32"/>
          <w:szCs w:val="32"/>
        </w:rPr>
        <w:fldChar w:fldCharType="end"/>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卫生健康局、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应急管理局、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fldChar w:fldCharType="begin"/>
      </w:r>
      <w:r>
        <w:rPr>
          <w:rFonts w:hint="eastAsia" w:ascii="仿宋" w:hAnsi="仿宋" w:eastAsia="仿宋" w:cs="仿宋"/>
          <w:spacing w:val="6"/>
          <w:sz w:val="32"/>
          <w:szCs w:val="32"/>
        </w:rPr>
        <w:instrText xml:space="preserve"> HYPERLINK "https://www.shantou.gov.cn/scjgj" </w:instrText>
      </w:r>
      <w:r>
        <w:rPr>
          <w:rFonts w:hint="eastAsia" w:ascii="仿宋" w:hAnsi="仿宋" w:eastAsia="仿宋" w:cs="仿宋"/>
          <w:spacing w:val="6"/>
          <w:sz w:val="32"/>
          <w:szCs w:val="32"/>
        </w:rPr>
        <w:fldChar w:fldCharType="separate"/>
      </w:r>
      <w:r>
        <w:rPr>
          <w:rFonts w:hint="eastAsia" w:ascii="仿宋" w:hAnsi="仿宋" w:eastAsia="仿宋" w:cs="仿宋"/>
          <w:spacing w:val="6"/>
          <w:sz w:val="32"/>
          <w:szCs w:val="32"/>
        </w:rPr>
        <w:t>市场监管局</w:t>
      </w:r>
      <w:r>
        <w:rPr>
          <w:rFonts w:hint="eastAsia" w:ascii="仿宋" w:hAnsi="仿宋" w:eastAsia="仿宋" w:cs="仿宋"/>
          <w:spacing w:val="6"/>
          <w:sz w:val="32"/>
          <w:szCs w:val="32"/>
        </w:rPr>
        <w:fldChar w:fldCharType="end"/>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城管局、</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消防救援</w:t>
      </w:r>
      <w:r>
        <w:rPr>
          <w:rFonts w:hint="eastAsia" w:ascii="仿宋" w:hAnsi="仿宋" w:eastAsia="仿宋" w:cs="仿宋"/>
          <w:spacing w:val="6"/>
          <w:sz w:val="32"/>
          <w:szCs w:val="32"/>
          <w:lang w:eastAsia="zh-CN"/>
        </w:rPr>
        <w:t>大</w:t>
      </w:r>
      <w:r>
        <w:rPr>
          <w:rFonts w:hint="eastAsia" w:ascii="仿宋" w:hAnsi="仿宋" w:eastAsia="仿宋" w:cs="仿宋"/>
          <w:spacing w:val="6"/>
          <w:sz w:val="32"/>
          <w:szCs w:val="32"/>
        </w:rPr>
        <w:t>队、</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fldChar w:fldCharType="begin"/>
      </w:r>
      <w:r>
        <w:rPr>
          <w:rFonts w:hint="eastAsia" w:ascii="仿宋" w:hAnsi="仿宋" w:eastAsia="仿宋" w:cs="仿宋"/>
          <w:spacing w:val="6"/>
          <w:sz w:val="32"/>
          <w:szCs w:val="32"/>
        </w:rPr>
        <w:instrText xml:space="preserve"> HYPERLINK "http://gd.cma.gov.cn/stsqxj/" </w:instrText>
      </w:r>
      <w:r>
        <w:rPr>
          <w:rFonts w:hint="eastAsia" w:ascii="仿宋" w:hAnsi="仿宋" w:eastAsia="仿宋" w:cs="仿宋"/>
          <w:spacing w:val="6"/>
          <w:sz w:val="32"/>
          <w:szCs w:val="32"/>
        </w:rPr>
        <w:fldChar w:fldCharType="separate"/>
      </w:r>
      <w:r>
        <w:rPr>
          <w:rFonts w:hint="eastAsia" w:ascii="仿宋" w:hAnsi="仿宋" w:eastAsia="仿宋" w:cs="仿宋"/>
          <w:spacing w:val="6"/>
          <w:sz w:val="32"/>
          <w:szCs w:val="32"/>
        </w:rPr>
        <w:t>气象局</w:t>
      </w:r>
      <w:r>
        <w:rPr>
          <w:rFonts w:hint="eastAsia" w:ascii="仿宋" w:hAnsi="仿宋" w:eastAsia="仿宋" w:cs="仿宋"/>
          <w:spacing w:val="6"/>
          <w:sz w:val="32"/>
          <w:szCs w:val="32"/>
        </w:rPr>
        <w:fldChar w:fldCharType="end"/>
      </w:r>
      <w:r>
        <w:rPr>
          <w:rFonts w:hint="eastAsia" w:ascii="仿宋" w:hAnsi="仿宋" w:eastAsia="仿宋" w:cs="仿宋"/>
          <w:spacing w:val="6"/>
          <w:sz w:val="32"/>
          <w:szCs w:val="32"/>
        </w:rPr>
        <w:t>、广东电网公司</w:t>
      </w:r>
      <w:r>
        <w:rPr>
          <w:rFonts w:hint="eastAsia" w:ascii="仿宋" w:hAnsi="仿宋" w:eastAsia="仿宋" w:cs="仿宋"/>
          <w:spacing w:val="6"/>
          <w:sz w:val="32"/>
          <w:szCs w:val="32"/>
          <w:lang w:eastAsia="zh-CN"/>
        </w:rPr>
        <w:t>潮阳</w:t>
      </w:r>
      <w:r>
        <w:rPr>
          <w:rFonts w:hint="eastAsia" w:ascii="仿宋" w:hAnsi="仿宋" w:eastAsia="仿宋" w:cs="仿宋"/>
          <w:spacing w:val="6"/>
          <w:sz w:val="32"/>
          <w:szCs w:val="32"/>
        </w:rPr>
        <w:t>供电局等单位负责人。</w:t>
      </w:r>
    </w:p>
    <w:p w14:paraId="6BEACBA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（1）</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委宣传部：负责相关宣传报道、新闻发布的组织协调和监督管理，加强涉突发环境事件舆情监测、研判和预警，协调做好突发环境事件的信息发布和舆论引导；指导、协调全</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新闻媒体机构，组织开展环境应急安全教育。</w:t>
      </w:r>
    </w:p>
    <w:p w14:paraId="24CD8A1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（2）</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委政法委:负责指导、协调、督促政法机关依法办理环境污染犯罪案件，配合做好突发环境事件应急处置工作。</w:t>
      </w:r>
    </w:p>
    <w:p w14:paraId="7AE30E2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（3）</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委网信办：负责配合开展突发环境事件应急处置过程的网络举报和舆情处置等工作。</w:t>
      </w:r>
    </w:p>
    <w:p w14:paraId="2CAFD91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lang w:eastAsia="zh-CN"/>
        </w:rPr>
        <w:t>）潮阳海事处</w:t>
      </w:r>
      <w:r>
        <w:rPr>
          <w:rFonts w:hint="eastAsia" w:ascii="仿宋" w:hAnsi="仿宋" w:eastAsia="仿宋" w:cs="仿宋"/>
          <w:spacing w:val="6"/>
          <w:sz w:val="32"/>
          <w:szCs w:val="32"/>
        </w:rPr>
        <w:t>：负责辖区内船舶较大污染事故处置及调查处理的组织、指挥和协调工作；为突发环境事件开展水上环境监测等活动提供船舶、人员等方面支持。</w:t>
      </w:r>
    </w:p>
    <w:p w14:paraId="78E7472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rPr>
        <w:t>（5）</w:t>
      </w:r>
      <w:r>
        <w:rPr>
          <w:rFonts w:hint="eastAsia" w:ascii="仿宋" w:hAnsi="仿宋" w:eastAsia="仿宋" w:cs="仿宋"/>
          <w:b w:val="0"/>
          <w:bCs w:val="0"/>
          <w:spacing w:val="6"/>
          <w:sz w:val="32"/>
          <w:szCs w:val="32"/>
          <w:lang w:eastAsia="zh-CN"/>
        </w:rPr>
        <w:t>区练江办</w:t>
      </w:r>
      <w:r>
        <w:rPr>
          <w:rFonts w:hint="eastAsia" w:ascii="仿宋" w:hAnsi="仿宋" w:eastAsia="仿宋" w:cs="仿宋"/>
          <w:b w:val="0"/>
          <w:bCs w:val="0"/>
          <w:spacing w:val="6"/>
          <w:sz w:val="32"/>
          <w:szCs w:val="32"/>
        </w:rPr>
        <w:t>：负责配合做好</w:t>
      </w:r>
      <w:r>
        <w:rPr>
          <w:rFonts w:hint="eastAsia" w:ascii="仿宋" w:hAnsi="仿宋" w:eastAsia="仿宋" w:cs="仿宋"/>
          <w:b w:val="0"/>
          <w:bCs w:val="0"/>
          <w:spacing w:val="6"/>
          <w:sz w:val="32"/>
          <w:szCs w:val="32"/>
          <w:lang w:eastAsia="zh-CN"/>
        </w:rPr>
        <w:t>练江</w:t>
      </w:r>
      <w:r>
        <w:rPr>
          <w:rFonts w:hint="eastAsia" w:ascii="仿宋" w:hAnsi="仿宋" w:eastAsia="仿宋" w:cs="仿宋"/>
          <w:b w:val="0"/>
          <w:bCs w:val="0"/>
          <w:spacing w:val="6"/>
          <w:sz w:val="32"/>
          <w:szCs w:val="32"/>
        </w:rPr>
        <w:t>流域突发水污染事件的调查和应急处置工作；组织协调并监督实施</w:t>
      </w:r>
      <w:r>
        <w:rPr>
          <w:rFonts w:hint="eastAsia" w:ascii="仿宋" w:hAnsi="仿宋" w:eastAsia="仿宋" w:cs="仿宋"/>
          <w:b w:val="0"/>
          <w:bCs w:val="0"/>
          <w:spacing w:val="6"/>
          <w:sz w:val="32"/>
          <w:szCs w:val="32"/>
          <w:lang w:eastAsia="zh-CN"/>
        </w:rPr>
        <w:t>练江</w:t>
      </w:r>
      <w:r>
        <w:rPr>
          <w:rFonts w:hint="eastAsia" w:ascii="仿宋" w:hAnsi="仿宋" w:eastAsia="仿宋" w:cs="仿宋"/>
          <w:b w:val="0"/>
          <w:bCs w:val="0"/>
          <w:spacing w:val="6"/>
          <w:sz w:val="32"/>
          <w:szCs w:val="32"/>
        </w:rPr>
        <w:t>流域跨地级以上市及跨流域调引</w:t>
      </w:r>
      <w:r>
        <w:rPr>
          <w:rFonts w:hint="eastAsia" w:ascii="仿宋" w:hAnsi="仿宋" w:eastAsia="仿宋" w:cs="仿宋"/>
          <w:b w:val="0"/>
          <w:bCs w:val="0"/>
          <w:spacing w:val="6"/>
          <w:sz w:val="32"/>
          <w:szCs w:val="32"/>
          <w:lang w:eastAsia="zh-CN"/>
        </w:rPr>
        <w:t>练江</w:t>
      </w:r>
      <w:r>
        <w:rPr>
          <w:rFonts w:hint="eastAsia" w:ascii="仿宋" w:hAnsi="仿宋" w:eastAsia="仿宋" w:cs="仿宋"/>
          <w:b w:val="0"/>
          <w:bCs w:val="0"/>
          <w:spacing w:val="6"/>
          <w:sz w:val="32"/>
          <w:szCs w:val="32"/>
        </w:rPr>
        <w:t>水的应急水量调度工作。</w:t>
      </w:r>
    </w:p>
    <w:p w14:paraId="334391F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hint="eastAsia" w:ascii="仿宋" w:hAnsi="仿宋" w:eastAsia="仿宋" w:cs="仿宋"/>
          <w:b w:val="0"/>
          <w:bCs w:val="0"/>
          <w:spacing w:val="12"/>
          <w:sz w:val="32"/>
          <w:szCs w:val="32"/>
        </w:rPr>
        <w:t>（6）</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"https://www.shantou.gov.cn/stdp"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pacing w:val="12"/>
          <w:sz w:val="32"/>
          <w:szCs w:val="32"/>
          <w:lang w:eastAsia="zh-CN"/>
        </w:rPr>
        <w:t>区</w:t>
      </w:r>
      <w:r>
        <w:rPr>
          <w:rFonts w:hint="eastAsia" w:ascii="仿宋" w:hAnsi="仿宋" w:eastAsia="仿宋" w:cs="仿宋"/>
          <w:b w:val="0"/>
          <w:bCs w:val="0"/>
          <w:spacing w:val="12"/>
          <w:sz w:val="32"/>
          <w:szCs w:val="32"/>
        </w:rPr>
        <w:t>发展改革局</w:t>
      </w:r>
      <w:r>
        <w:rPr>
          <w:rFonts w:hint="eastAsia" w:ascii="仿宋" w:hAnsi="仿宋" w:eastAsia="仿宋" w:cs="仿宋"/>
          <w:b w:val="0"/>
          <w:bCs w:val="0"/>
          <w:spacing w:val="12"/>
          <w:sz w:val="32"/>
          <w:szCs w:val="32"/>
        </w:rPr>
        <w:fldChar w:fldCharType="end"/>
      </w:r>
      <w:r>
        <w:rPr>
          <w:rFonts w:hint="eastAsia" w:ascii="仿宋" w:hAnsi="仿宋" w:eastAsia="仿宋" w:cs="仿宋"/>
          <w:b w:val="0"/>
          <w:bCs w:val="0"/>
          <w:spacing w:val="12"/>
          <w:sz w:val="32"/>
          <w:szCs w:val="32"/>
        </w:rPr>
        <w:t>：负责将全</w:t>
      </w:r>
      <w:r>
        <w:rPr>
          <w:rFonts w:hint="eastAsia" w:ascii="仿宋" w:hAnsi="仿宋" w:eastAsia="仿宋" w:cs="仿宋"/>
          <w:b w:val="0"/>
          <w:bCs w:val="0"/>
          <w:spacing w:val="12"/>
          <w:sz w:val="32"/>
          <w:szCs w:val="32"/>
          <w:lang w:eastAsia="zh-CN"/>
        </w:rPr>
        <w:t>区</w:t>
      </w:r>
      <w:r>
        <w:rPr>
          <w:rFonts w:hint="eastAsia" w:ascii="仿宋" w:hAnsi="仿宋" w:eastAsia="仿宋" w:cs="仿宋"/>
          <w:b w:val="0"/>
          <w:bCs w:val="0"/>
          <w:spacing w:val="12"/>
          <w:sz w:val="32"/>
          <w:szCs w:val="32"/>
        </w:rPr>
        <w:t>环境应急救援</w:t>
      </w:r>
      <w:r>
        <w:rPr>
          <w:rFonts w:hint="eastAsia" w:ascii="仿宋" w:hAnsi="仿宋" w:eastAsia="仿宋" w:cs="仿宋"/>
          <w:b w:val="0"/>
          <w:bCs w:val="0"/>
          <w:spacing w:val="11"/>
          <w:sz w:val="32"/>
          <w:szCs w:val="32"/>
        </w:rPr>
        <w:t>体系建设纳入</w:t>
      </w:r>
      <w:r>
        <w:rPr>
          <w:rFonts w:hint="eastAsia" w:ascii="仿宋" w:hAnsi="仿宋" w:eastAsia="仿宋" w:cs="仿宋"/>
          <w:b w:val="0"/>
          <w:bCs w:val="0"/>
          <w:spacing w:val="5"/>
          <w:sz w:val="32"/>
          <w:szCs w:val="32"/>
          <w:lang w:eastAsia="zh-CN"/>
        </w:rPr>
        <w:t>区</w:t>
      </w:r>
      <w:r>
        <w:rPr>
          <w:rFonts w:hint="eastAsia" w:ascii="仿宋" w:hAnsi="仿宋" w:eastAsia="仿宋" w:cs="仿宋"/>
          <w:b w:val="0"/>
          <w:bCs w:val="0"/>
          <w:spacing w:val="5"/>
          <w:sz w:val="32"/>
          <w:szCs w:val="32"/>
        </w:rPr>
        <w:t>国民经济与社会发展规划；开展居民生活必需</w:t>
      </w:r>
      <w:r>
        <w:rPr>
          <w:rFonts w:hint="eastAsia" w:ascii="仿宋" w:hAnsi="仿宋" w:eastAsia="仿宋" w:cs="仿宋"/>
          <w:spacing w:val="5"/>
          <w:sz w:val="32"/>
          <w:szCs w:val="32"/>
        </w:rPr>
        <w:t>品等商品的价</w:t>
      </w:r>
      <w:r>
        <w:rPr>
          <w:rFonts w:hint="eastAsia" w:ascii="仿宋" w:hAnsi="仿宋" w:eastAsia="仿宋" w:cs="仿宋"/>
          <w:spacing w:val="6"/>
          <w:sz w:val="32"/>
          <w:szCs w:val="32"/>
        </w:rPr>
        <w:t>格监</w:t>
      </w:r>
      <w:r>
        <w:rPr>
          <w:rFonts w:ascii="仿宋" w:hAnsi="仿宋" w:eastAsia="仿宋" w:cs="仿宋"/>
          <w:spacing w:val="6"/>
          <w:sz w:val="32"/>
          <w:szCs w:val="32"/>
        </w:rPr>
        <w:t>测和市场巡查，必要时依法定程序采取价格应急干预措施；组织做好储备粮油的调拨供应工作和救灾物资等储备工作。</w:t>
      </w:r>
    </w:p>
    <w:p w14:paraId="1F0DF9B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7</w:t>
      </w:r>
      <w:r>
        <w:rPr>
          <w:rFonts w:hint="eastAsia" w:ascii="仿宋" w:hAnsi="仿宋" w:eastAsia="仿宋" w:cs="仿宋"/>
          <w:spacing w:val="6"/>
          <w:sz w:val="32"/>
          <w:szCs w:val="32"/>
          <w:lang w:eastAsia="zh-CN"/>
        </w:rPr>
        <w:t>）区</w:t>
      </w:r>
      <w:r>
        <w:rPr>
          <w:rFonts w:ascii="仿宋" w:hAnsi="仿宋" w:eastAsia="仿宋" w:cs="仿宋"/>
          <w:spacing w:val="6"/>
          <w:sz w:val="32"/>
          <w:szCs w:val="32"/>
        </w:rPr>
        <w:t>工业和信息化局：负责和</w:t>
      </w:r>
      <w:r>
        <w:rPr>
          <w:rFonts w:hint="eastAsia" w:ascii="仿宋" w:hAnsi="仿宋" w:eastAsia="仿宋" w:cs="仿宋"/>
          <w:spacing w:val="6"/>
          <w:sz w:val="32"/>
          <w:szCs w:val="32"/>
          <w:lang w:eastAsia="zh-CN"/>
        </w:rPr>
        <w:t>区</w:t>
      </w:r>
      <w:r>
        <w:rPr>
          <w:rFonts w:ascii="仿宋" w:hAnsi="仿宋" w:eastAsia="仿宋" w:cs="仿宋"/>
          <w:spacing w:val="6"/>
          <w:sz w:val="32"/>
          <w:szCs w:val="32"/>
        </w:rPr>
        <w:t>市场监管局共同统筹突发环境事件应急物资生产保障工作</w:t>
      </w:r>
      <w:r>
        <w:rPr>
          <w:rFonts w:hint="eastAsia" w:ascii="仿宋" w:hAnsi="仿宋" w:eastAsia="仿宋" w:cs="仿宋"/>
          <w:spacing w:val="6"/>
          <w:sz w:val="32"/>
          <w:szCs w:val="32"/>
          <w:lang w:eastAsia="zh-CN"/>
        </w:rPr>
        <w:t>，</w:t>
      </w:r>
      <w:r>
        <w:rPr>
          <w:rFonts w:ascii="仿宋" w:hAnsi="仿宋" w:eastAsia="仿宋" w:cs="仿宋"/>
          <w:spacing w:val="6"/>
          <w:sz w:val="32"/>
          <w:szCs w:val="32"/>
        </w:rPr>
        <w:t>依职责配合相关部门做好有关生活必需品的市场保供</w:t>
      </w:r>
      <w:r>
        <w:rPr>
          <w:rFonts w:hint="eastAsia" w:ascii="仿宋" w:hAnsi="仿宋" w:eastAsia="仿宋" w:cs="仿宋"/>
          <w:spacing w:val="6"/>
          <w:sz w:val="32"/>
          <w:szCs w:val="32"/>
          <w:lang w:eastAsia="zh-CN"/>
        </w:rPr>
        <w:t>；</w:t>
      </w:r>
      <w:r>
        <w:rPr>
          <w:rFonts w:hint="eastAsia" w:ascii="仿宋" w:hAnsi="仿宋" w:eastAsia="仿宋" w:cs="仿宋"/>
          <w:sz w:val="32"/>
          <w:szCs w:val="32"/>
          <w:u w:val="single"/>
        </w:rPr>
        <w:t>负责对地震震情和灾情进行通报</w:t>
      </w:r>
      <w:r>
        <w:rPr>
          <w:rFonts w:ascii="仿宋" w:hAnsi="仿宋" w:eastAsia="仿宋" w:cs="仿宋"/>
          <w:spacing w:val="6"/>
          <w:sz w:val="32"/>
          <w:szCs w:val="32"/>
        </w:rPr>
        <w:t>。</w:t>
      </w:r>
    </w:p>
    <w:p w14:paraId="2B7E697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ascii="仿宋" w:hAnsi="仿宋" w:eastAsia="仿宋" w:cs="仿宋"/>
          <w:spacing w:val="6"/>
          <w:sz w:val="32"/>
          <w:szCs w:val="32"/>
        </w:rPr>
        <w:t>（8）</w:t>
      </w:r>
      <w:r>
        <w:rPr>
          <w:rFonts w:hint="eastAsia" w:ascii="仿宋" w:hAnsi="仿宋" w:eastAsia="仿宋" w:cs="仿宋"/>
          <w:spacing w:val="6"/>
          <w:sz w:val="32"/>
          <w:szCs w:val="32"/>
          <w:lang w:eastAsia="zh-CN"/>
        </w:rPr>
        <w:t>区</w:t>
      </w:r>
      <w:r>
        <w:rPr>
          <w:rFonts w:ascii="仿宋" w:hAnsi="仿宋" w:eastAsia="仿宋" w:cs="仿宋"/>
          <w:spacing w:val="6"/>
          <w:sz w:val="32"/>
          <w:szCs w:val="32"/>
        </w:rPr>
        <w:t>公安局：负责指导危险化学品运输车辆的道路交通管理；指导人员疏散和事故现场警戒工作；对事故现场区域周边道路交通管制，保障救援道路畅通；维护事发地治安秩序和社会稳定；参与敏感和</w:t>
      </w:r>
      <w:r>
        <w:rPr>
          <w:rFonts w:hint="eastAsia" w:ascii="仿宋" w:hAnsi="仿宋" w:eastAsia="仿宋" w:cs="仿宋"/>
          <w:spacing w:val="6"/>
          <w:sz w:val="32"/>
          <w:szCs w:val="32"/>
          <w:lang w:eastAsia="zh-CN"/>
        </w:rPr>
        <w:t>一般</w:t>
      </w:r>
      <w:r>
        <w:rPr>
          <w:rFonts w:ascii="仿宋" w:hAnsi="仿宋" w:eastAsia="仿宋" w:cs="仿宋"/>
          <w:spacing w:val="6"/>
          <w:sz w:val="32"/>
          <w:szCs w:val="32"/>
        </w:rPr>
        <w:t>突发环境事件调查和处置。</w:t>
      </w:r>
    </w:p>
    <w:p w14:paraId="26B9A9F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ascii="仿宋" w:hAnsi="仿宋" w:eastAsia="仿宋" w:cs="仿宋"/>
          <w:spacing w:val="6"/>
          <w:sz w:val="32"/>
          <w:szCs w:val="32"/>
        </w:rPr>
        <w:t>（9）</w:t>
      </w:r>
      <w:r>
        <w:rPr>
          <w:rFonts w:hint="eastAsia" w:ascii="仿宋" w:hAnsi="仿宋" w:eastAsia="仿宋" w:cs="仿宋"/>
          <w:spacing w:val="6"/>
          <w:sz w:val="32"/>
          <w:szCs w:val="32"/>
          <w:lang w:eastAsia="zh-CN"/>
        </w:rPr>
        <w:t>区</w:t>
      </w:r>
      <w:r>
        <w:rPr>
          <w:rFonts w:ascii="仿宋" w:hAnsi="仿宋" w:eastAsia="仿宋" w:cs="仿宋"/>
          <w:spacing w:val="6"/>
          <w:sz w:val="32"/>
          <w:szCs w:val="32"/>
        </w:rPr>
        <w:t>民政局：</w:t>
      </w:r>
      <w:r>
        <w:rPr>
          <w:rFonts w:ascii="仿宋" w:hAnsi="仿宋" w:eastAsia="仿宋" w:cs="仿宋"/>
          <w:spacing w:val="6"/>
          <w:sz w:val="32"/>
          <w:szCs w:val="32"/>
          <w:u w:val="single"/>
        </w:rPr>
        <w:t>做好突发环境事件的社会</w:t>
      </w:r>
      <w:r>
        <w:rPr>
          <w:rFonts w:hint="eastAsia" w:ascii="仿宋" w:hAnsi="仿宋" w:eastAsia="仿宋" w:cs="仿宋"/>
          <w:spacing w:val="6"/>
          <w:sz w:val="32"/>
          <w:szCs w:val="32"/>
          <w:u w:val="single"/>
          <w:lang w:eastAsia="zh-CN"/>
        </w:rPr>
        <w:t>捐赠接收</w:t>
      </w:r>
      <w:r>
        <w:rPr>
          <w:rFonts w:ascii="仿宋" w:hAnsi="仿宋" w:eastAsia="仿宋" w:cs="仿宋"/>
          <w:spacing w:val="6"/>
          <w:sz w:val="32"/>
          <w:szCs w:val="32"/>
          <w:u w:val="single"/>
        </w:rPr>
        <w:t>工作</w:t>
      </w:r>
      <w:r>
        <w:rPr>
          <w:rFonts w:ascii="仿宋" w:hAnsi="仿宋" w:eastAsia="仿宋" w:cs="仿宋"/>
          <w:spacing w:val="6"/>
          <w:sz w:val="32"/>
          <w:szCs w:val="32"/>
        </w:rPr>
        <w:t>;将符合条件的困难群众纳入临时救助等基本生活保障范围。</w:t>
      </w:r>
    </w:p>
    <w:p w14:paraId="157EDAA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ascii="仿宋" w:hAnsi="仿宋" w:eastAsia="仿宋" w:cs="仿宋"/>
          <w:spacing w:val="6"/>
          <w:sz w:val="32"/>
          <w:szCs w:val="32"/>
        </w:rPr>
        <w:t>（10）</w:t>
      </w:r>
      <w:r>
        <w:rPr>
          <w:rFonts w:hint="eastAsia" w:ascii="仿宋" w:hAnsi="仿宋" w:eastAsia="仿宋" w:cs="仿宋"/>
          <w:spacing w:val="6"/>
          <w:sz w:val="32"/>
          <w:szCs w:val="32"/>
          <w:lang w:eastAsia="zh-CN"/>
        </w:rPr>
        <w:t>区</w:t>
      </w:r>
      <w:r>
        <w:rPr>
          <w:rFonts w:ascii="仿宋" w:hAnsi="仿宋" w:eastAsia="仿宋" w:cs="仿宋"/>
          <w:spacing w:val="6"/>
          <w:sz w:val="32"/>
          <w:szCs w:val="32"/>
        </w:rPr>
        <w:t>司法局：推动国家机关落实“谁执法谁普法”普法责任制，配合开展突发环境事件应对普法宣传,为</w:t>
      </w:r>
      <w:r>
        <w:rPr>
          <w:rFonts w:hint="eastAsia" w:ascii="仿宋" w:hAnsi="仿宋" w:eastAsia="仿宋" w:cs="仿宋"/>
          <w:spacing w:val="6"/>
          <w:sz w:val="32"/>
          <w:szCs w:val="32"/>
          <w:lang w:eastAsia="zh-CN"/>
        </w:rPr>
        <w:t>区</w:t>
      </w:r>
      <w:r>
        <w:rPr>
          <w:rFonts w:ascii="仿宋" w:hAnsi="仿宋" w:eastAsia="仿宋" w:cs="仿宋"/>
          <w:spacing w:val="6"/>
          <w:sz w:val="32"/>
          <w:szCs w:val="32"/>
        </w:rPr>
        <w:t>政府开展突发环境事件应急决策进行法律研究。</w:t>
      </w:r>
    </w:p>
    <w:p w14:paraId="11C90E3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ascii="仿宋" w:hAnsi="仿宋" w:eastAsia="仿宋" w:cs="仿宋"/>
          <w:spacing w:val="6"/>
          <w:sz w:val="32"/>
          <w:szCs w:val="32"/>
        </w:rPr>
        <w:t>（11）</w:t>
      </w:r>
      <w:r>
        <w:rPr>
          <w:rFonts w:hint="eastAsia" w:ascii="仿宋" w:hAnsi="仿宋" w:eastAsia="仿宋" w:cs="仿宋"/>
          <w:spacing w:val="6"/>
          <w:sz w:val="32"/>
          <w:szCs w:val="32"/>
          <w:lang w:eastAsia="zh-CN"/>
        </w:rPr>
        <w:t>区</w:t>
      </w:r>
      <w:r>
        <w:rPr>
          <w:rFonts w:ascii="仿宋" w:hAnsi="仿宋" w:eastAsia="仿宋" w:cs="仿宋"/>
          <w:spacing w:val="6"/>
          <w:sz w:val="32"/>
          <w:szCs w:val="32"/>
        </w:rPr>
        <w:t>财政局：做好</w:t>
      </w:r>
      <w:r>
        <w:rPr>
          <w:rFonts w:hint="eastAsia" w:ascii="仿宋" w:hAnsi="仿宋" w:eastAsia="仿宋" w:cs="仿宋"/>
          <w:spacing w:val="6"/>
          <w:sz w:val="32"/>
          <w:szCs w:val="32"/>
          <w:lang w:eastAsia="zh-CN"/>
        </w:rPr>
        <w:t>区</w:t>
      </w:r>
      <w:r>
        <w:rPr>
          <w:rFonts w:ascii="仿宋" w:hAnsi="仿宋" w:eastAsia="仿宋" w:cs="仿宋"/>
          <w:spacing w:val="6"/>
          <w:sz w:val="32"/>
          <w:szCs w:val="32"/>
        </w:rPr>
        <w:t>级应急资金保障，配合相关业务主管部门对应急资金的安排、使用、管理进行监督。</w:t>
      </w:r>
    </w:p>
    <w:p w14:paraId="3A3ED79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2"/>
        <w:jc w:val="both"/>
        <w:textAlignment w:val="baseline"/>
        <w:rPr>
          <w:rFonts w:ascii="仿宋" w:hAnsi="仿宋" w:eastAsia="仿宋" w:cs="仿宋"/>
          <w:spacing w:val="6"/>
          <w:sz w:val="32"/>
          <w:szCs w:val="32"/>
        </w:rPr>
      </w:pPr>
      <w:r>
        <w:rPr>
          <w:rFonts w:ascii="仿宋" w:hAnsi="仿宋" w:eastAsia="仿宋" w:cs="仿宋"/>
          <w:spacing w:val="6"/>
          <w:sz w:val="32"/>
          <w:szCs w:val="32"/>
        </w:rPr>
        <w:t>（12）</w:t>
      </w:r>
      <w:r>
        <w:rPr>
          <w:rFonts w:ascii="仿宋" w:hAnsi="仿宋" w:eastAsia="仿宋" w:cs="仿宋"/>
          <w:spacing w:val="6"/>
          <w:sz w:val="32"/>
          <w:szCs w:val="32"/>
        </w:rPr>
        <w:fldChar w:fldCharType="begin"/>
      </w:r>
      <w:r>
        <w:rPr>
          <w:rFonts w:ascii="仿宋" w:hAnsi="仿宋" w:eastAsia="仿宋" w:cs="仿宋"/>
          <w:spacing w:val="6"/>
          <w:sz w:val="32"/>
          <w:szCs w:val="32"/>
        </w:rPr>
        <w:instrText xml:space="preserve"> HYPERLINK "https://www.shantou.gov.cn/zrzyj" </w:instrText>
      </w:r>
      <w:r>
        <w:rPr>
          <w:rFonts w:ascii="仿宋" w:hAnsi="仿宋" w:eastAsia="仿宋" w:cs="仿宋"/>
          <w:spacing w:val="6"/>
          <w:sz w:val="32"/>
          <w:szCs w:val="32"/>
        </w:rPr>
        <w:fldChar w:fldCharType="separate"/>
      </w:r>
      <w:r>
        <w:rPr>
          <w:rFonts w:hint="eastAsia" w:ascii="仿宋" w:hAnsi="仿宋" w:eastAsia="仿宋" w:cs="仿宋"/>
          <w:spacing w:val="6"/>
          <w:sz w:val="32"/>
          <w:szCs w:val="32"/>
          <w:lang w:eastAsia="zh-CN"/>
        </w:rPr>
        <w:t>区</w:t>
      </w:r>
      <w:r>
        <w:rPr>
          <w:rFonts w:ascii="仿宋" w:hAnsi="仿宋" w:eastAsia="仿宋" w:cs="仿宋"/>
          <w:spacing w:val="6"/>
          <w:sz w:val="32"/>
          <w:szCs w:val="32"/>
        </w:rPr>
        <w:t>自然资源局</w:t>
      </w:r>
      <w:r>
        <w:rPr>
          <w:rFonts w:ascii="仿宋" w:hAnsi="仿宋" w:eastAsia="仿宋" w:cs="仿宋"/>
          <w:spacing w:val="6"/>
          <w:sz w:val="32"/>
          <w:szCs w:val="32"/>
        </w:rPr>
        <w:fldChar w:fldCharType="end"/>
      </w:r>
      <w:r>
        <w:rPr>
          <w:rFonts w:ascii="仿宋" w:hAnsi="仿宋" w:eastAsia="仿宋" w:cs="仿宋"/>
          <w:spacing w:val="6"/>
          <w:sz w:val="32"/>
          <w:szCs w:val="32"/>
        </w:rPr>
        <w:t>：组织协调海洋生态预警监测、海洋灾害观测预报；开展因突发环境事件造成的矿山地质环境恢复治理、林业生态保护修复、海洋生态修复等工作；负责组织对突发环境事件造成的有关林业、海洋资源损害进行评估</w:t>
      </w:r>
      <w:r>
        <w:rPr>
          <w:rFonts w:hint="eastAsia" w:ascii="仿宋" w:hAnsi="仿宋" w:eastAsia="仿宋" w:cs="仿宋"/>
          <w:spacing w:val="6"/>
          <w:sz w:val="32"/>
          <w:szCs w:val="32"/>
          <w:lang w:eastAsia="zh-CN"/>
        </w:rPr>
        <w:t>；</w:t>
      </w:r>
      <w:r>
        <w:rPr>
          <w:rFonts w:ascii="仿宋" w:hAnsi="仿宋" w:eastAsia="仿宋" w:cs="仿宋"/>
          <w:spacing w:val="6"/>
          <w:sz w:val="32"/>
          <w:szCs w:val="32"/>
        </w:rPr>
        <w:t>按规定权限参与海洋环境污染事故应急处置和调查处理。</w:t>
      </w:r>
    </w:p>
    <w:p w14:paraId="05F19E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区生态环境局分局</w:t>
      </w:r>
      <w:r>
        <w:rPr>
          <w:rFonts w:hint="eastAsia" w:ascii="仿宋" w:hAnsi="仿宋" w:eastAsia="仿宋" w:cs="仿宋"/>
          <w:sz w:val="32"/>
          <w:szCs w:val="32"/>
        </w:rPr>
        <w:t>：牵头协调</w:t>
      </w:r>
      <w:r>
        <w:rPr>
          <w:rFonts w:hint="eastAsia" w:ascii="仿宋" w:hAnsi="仿宋" w:eastAsia="仿宋" w:cs="仿宋"/>
          <w:sz w:val="32"/>
          <w:szCs w:val="32"/>
          <w:lang w:eastAsia="zh-CN"/>
        </w:rPr>
        <w:t>一般</w:t>
      </w:r>
      <w:r>
        <w:rPr>
          <w:rFonts w:hint="eastAsia" w:ascii="仿宋" w:hAnsi="仿宋" w:eastAsia="仿宋" w:cs="仿宋"/>
          <w:sz w:val="32"/>
          <w:szCs w:val="32"/>
        </w:rPr>
        <w:t>突发环境事件调查处理；协调处理跨区域、</w:t>
      </w:r>
      <w:r>
        <w:rPr>
          <w:rFonts w:hint="eastAsia" w:ascii="仿宋" w:hAnsi="仿宋" w:eastAsia="仿宋" w:cs="仿宋"/>
          <w:sz w:val="32"/>
          <w:szCs w:val="32"/>
          <w:lang w:eastAsia="zh-CN"/>
        </w:rPr>
        <w:t>较大</w:t>
      </w:r>
      <w:r>
        <w:rPr>
          <w:rFonts w:hint="eastAsia" w:ascii="仿宋" w:hAnsi="仿宋" w:eastAsia="仿宋" w:cs="仿宋"/>
          <w:sz w:val="32"/>
          <w:szCs w:val="32"/>
        </w:rPr>
        <w:t>生态环境污染事故；指导协调各</w:t>
      </w:r>
      <w:r>
        <w:rPr>
          <w:rFonts w:hint="eastAsia" w:ascii="仿宋" w:hAnsi="仿宋" w:eastAsia="仿宋" w:cs="仿宋"/>
          <w:sz w:val="32"/>
          <w:szCs w:val="32"/>
          <w:lang w:eastAsia="zh-CN"/>
        </w:rPr>
        <w:t>镇</w:t>
      </w:r>
      <w:r>
        <w:rPr>
          <w:rFonts w:hint="eastAsia" w:ascii="仿宋" w:hAnsi="仿宋" w:eastAsia="仿宋" w:cs="仿宋"/>
          <w:sz w:val="32"/>
          <w:szCs w:val="32"/>
        </w:rPr>
        <w:t>（</w:t>
      </w:r>
      <w:r>
        <w:rPr>
          <w:rFonts w:hint="eastAsia" w:ascii="仿宋" w:hAnsi="仿宋" w:eastAsia="仿宋" w:cs="仿宋"/>
          <w:sz w:val="32"/>
          <w:szCs w:val="32"/>
          <w:lang w:eastAsia="zh-CN"/>
        </w:rPr>
        <w:t>街道</w:t>
      </w:r>
      <w:r>
        <w:rPr>
          <w:rFonts w:hint="eastAsia" w:ascii="仿宋" w:hAnsi="仿宋" w:eastAsia="仿宋" w:cs="仿宋"/>
          <w:sz w:val="32"/>
          <w:szCs w:val="32"/>
        </w:rPr>
        <w:t>）人民政府对</w:t>
      </w:r>
      <w:r>
        <w:rPr>
          <w:rFonts w:hint="eastAsia" w:ascii="仿宋" w:hAnsi="仿宋" w:eastAsia="仿宋" w:cs="仿宋"/>
          <w:sz w:val="32"/>
          <w:szCs w:val="32"/>
          <w:lang w:eastAsia="zh-CN"/>
        </w:rPr>
        <w:t>一般</w:t>
      </w:r>
      <w:r>
        <w:rPr>
          <w:rFonts w:hint="eastAsia" w:ascii="仿宋" w:hAnsi="仿宋" w:eastAsia="仿宋" w:cs="仿宋"/>
          <w:sz w:val="32"/>
          <w:szCs w:val="32"/>
        </w:rPr>
        <w:t>突发环境事件应急、预警工作。负责组织</w:t>
      </w:r>
      <w:r>
        <w:rPr>
          <w:rFonts w:hint="eastAsia" w:ascii="仿宋" w:hAnsi="仿宋" w:eastAsia="仿宋" w:cs="仿宋"/>
          <w:sz w:val="32"/>
          <w:szCs w:val="32"/>
          <w:lang w:eastAsia="zh-CN"/>
        </w:rPr>
        <w:t>一般</w:t>
      </w:r>
      <w:r>
        <w:rPr>
          <w:rFonts w:hint="eastAsia" w:ascii="仿宋" w:hAnsi="仿宋" w:eastAsia="仿宋" w:cs="仿宋"/>
          <w:sz w:val="32"/>
          <w:szCs w:val="32"/>
        </w:rPr>
        <w:t>、跨</w:t>
      </w:r>
      <w:r>
        <w:rPr>
          <w:rFonts w:hint="eastAsia" w:ascii="仿宋" w:hAnsi="仿宋" w:eastAsia="仿宋" w:cs="仿宋"/>
          <w:sz w:val="32"/>
          <w:szCs w:val="32"/>
          <w:lang w:eastAsia="zh-CN"/>
        </w:rPr>
        <w:t>地区</w:t>
      </w:r>
      <w:r>
        <w:rPr>
          <w:rFonts w:hint="eastAsia" w:ascii="仿宋" w:hAnsi="仿宋" w:eastAsia="仿宋" w:cs="仿宋"/>
          <w:sz w:val="32"/>
          <w:szCs w:val="32"/>
        </w:rPr>
        <w:t>突发生态环境事件的现场调查处置工作；组织对造成</w:t>
      </w:r>
      <w:r>
        <w:rPr>
          <w:rFonts w:hint="eastAsia" w:ascii="仿宋" w:hAnsi="仿宋" w:eastAsia="仿宋" w:cs="仿宋"/>
          <w:sz w:val="32"/>
          <w:szCs w:val="32"/>
          <w:lang w:eastAsia="zh-CN"/>
        </w:rPr>
        <w:t>一般</w:t>
      </w:r>
      <w:r>
        <w:rPr>
          <w:rFonts w:hint="eastAsia" w:ascii="仿宋" w:hAnsi="仿宋" w:eastAsia="仿宋" w:cs="仿宋"/>
          <w:sz w:val="32"/>
          <w:szCs w:val="32"/>
        </w:rPr>
        <w:t>突发环境事件的环境违法行为案件的立案、调查工作；负责利用全</w:t>
      </w:r>
      <w:r>
        <w:rPr>
          <w:rFonts w:hint="eastAsia" w:ascii="仿宋" w:hAnsi="仿宋" w:eastAsia="仿宋" w:cs="仿宋"/>
          <w:sz w:val="32"/>
          <w:szCs w:val="32"/>
          <w:lang w:eastAsia="zh-CN"/>
        </w:rPr>
        <w:t>区</w:t>
      </w:r>
      <w:r>
        <w:rPr>
          <w:rFonts w:hint="eastAsia" w:ascii="仿宋" w:hAnsi="仿宋" w:eastAsia="仿宋" w:cs="仿宋"/>
          <w:sz w:val="32"/>
          <w:szCs w:val="32"/>
        </w:rPr>
        <w:t>污染源自动监控平台对突发环境事件开展研判。</w:t>
      </w:r>
    </w:p>
    <w:p w14:paraId="36BB51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eastAsia" w:ascii="仿宋" w:hAnsi="仿宋" w:eastAsia="仿宋" w:cs="仿宋"/>
          <w:sz w:val="32"/>
          <w:szCs w:val="32"/>
        </w:rPr>
      </w:pPr>
      <w:bookmarkStart w:id="8" w:name="_Toc30682"/>
      <w:r>
        <w:rPr>
          <w:rFonts w:hint="eastAsia" w:ascii="仿宋" w:hAnsi="仿宋" w:eastAsia="仿宋" w:cs="仿宋"/>
          <w:sz w:val="32"/>
          <w:szCs w:val="32"/>
        </w:rPr>
        <w:t>（14）</w:t>
      </w:r>
      <w:r>
        <w:rPr>
          <w:rFonts w:hint="eastAsia" w:ascii="仿宋" w:hAnsi="仿宋" w:eastAsia="仿宋" w:cs="仿宋"/>
          <w:sz w:val="32"/>
          <w:szCs w:val="32"/>
          <w:lang w:eastAsia="zh-CN"/>
        </w:rPr>
        <w:t>区</w:t>
      </w:r>
      <w:r>
        <w:rPr>
          <w:rFonts w:hint="eastAsia" w:ascii="仿宋" w:hAnsi="仿宋" w:eastAsia="仿宋" w:cs="仿宋"/>
          <w:sz w:val="32"/>
          <w:szCs w:val="32"/>
        </w:rPr>
        <w:t>住房城乡建设局：指导地方应急避护场所的建设。</w:t>
      </w:r>
      <w:bookmarkEnd w:id="8"/>
    </w:p>
    <w:p w14:paraId="0050BF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eastAsia="zh-CN"/>
        </w:rPr>
        <w:t>区</w:t>
      </w:r>
      <w:r>
        <w:rPr>
          <w:rFonts w:hint="eastAsia" w:ascii="仿宋" w:hAnsi="仿宋" w:eastAsia="仿宋" w:cs="仿宋"/>
          <w:sz w:val="32"/>
          <w:szCs w:val="32"/>
        </w:rPr>
        <w:t>交通运输局：负责指导、协调应急人员及物资设备的应急运输工作；参与因公路、水路交通安全事故引发的突发环境事件应急处置。</w:t>
      </w:r>
    </w:p>
    <w:p w14:paraId="4E2ACC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w:t>
      </w:r>
      <w:r>
        <w:rPr>
          <w:rFonts w:hint="eastAsia" w:ascii="仿宋" w:hAnsi="仿宋" w:eastAsia="仿宋" w:cs="仿宋"/>
          <w:sz w:val="32"/>
          <w:szCs w:val="32"/>
          <w:lang w:eastAsia="zh-CN"/>
        </w:rPr>
        <w:t>区</w:t>
      </w:r>
      <w:r>
        <w:rPr>
          <w:rFonts w:hint="eastAsia" w:ascii="仿宋" w:hAnsi="仿宋" w:eastAsia="仿宋" w:cs="仿宋"/>
          <w:sz w:val="32"/>
          <w:szCs w:val="32"/>
        </w:rPr>
        <w:t>水务局：负责配合做好突发水污染事件调查和应急处置工作；提供水体污染事件应急处置所需的水利数据；组织协调并监督实施重要江河湖库及跨</w:t>
      </w:r>
      <w:r>
        <w:rPr>
          <w:rFonts w:hint="eastAsia" w:ascii="仿宋" w:hAnsi="仿宋" w:eastAsia="仿宋" w:cs="仿宋"/>
          <w:sz w:val="32"/>
          <w:szCs w:val="32"/>
          <w:lang w:eastAsia="zh-CN"/>
        </w:rPr>
        <w:t>地区</w:t>
      </w:r>
      <w:r>
        <w:rPr>
          <w:rFonts w:hint="eastAsia" w:ascii="仿宋" w:hAnsi="仿宋" w:eastAsia="仿宋" w:cs="仿宋"/>
          <w:sz w:val="32"/>
          <w:szCs w:val="32"/>
        </w:rPr>
        <w:t>、跨流域环境应急水量调度，协助提出危险化学品生产安全事故消防废水防控建议。</w:t>
      </w:r>
    </w:p>
    <w:p w14:paraId="7D2829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w:t>
      </w:r>
      <w:r>
        <w:rPr>
          <w:rFonts w:hint="eastAsia" w:ascii="仿宋" w:hAnsi="仿宋" w:eastAsia="仿宋" w:cs="仿宋"/>
          <w:sz w:val="32"/>
          <w:szCs w:val="32"/>
          <w:lang w:eastAsia="zh-CN"/>
        </w:rPr>
        <w:t>区</w:t>
      </w:r>
      <w:r>
        <w:rPr>
          <w:rFonts w:hint="eastAsia" w:ascii="仿宋" w:hAnsi="仿宋" w:eastAsia="仿宋" w:cs="仿宋"/>
          <w:sz w:val="32"/>
          <w:szCs w:val="32"/>
        </w:rPr>
        <w:t>农业农村局：负责组织对突发环境事件造成的农业、渔业资源破坏进行评估，配合做好因养殖污染引起的突发环境事件的调查和处置工作，配合开展相关生态修复。</w:t>
      </w:r>
    </w:p>
    <w:p w14:paraId="72D011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"https://www.shantou.gov.cn/wgxj" </w:instrText>
      </w:r>
      <w:r>
        <w:rPr>
          <w:rFonts w:hint="eastAsia" w:ascii="仿宋" w:hAnsi="仿宋" w:eastAsia="仿宋" w:cs="仿宋"/>
          <w:sz w:val="32"/>
          <w:szCs w:val="32"/>
        </w:rPr>
        <w:fldChar w:fldCharType="separate"/>
      </w:r>
      <w:r>
        <w:rPr>
          <w:rFonts w:hint="eastAsia" w:ascii="仿宋" w:hAnsi="仿宋" w:eastAsia="仿宋" w:cs="仿宋"/>
          <w:sz w:val="32"/>
          <w:szCs w:val="32"/>
        </w:rPr>
        <w:t>文化广电旅游体育局</w:t>
      </w:r>
      <w:r>
        <w:rPr>
          <w:rFonts w:hint="eastAsia" w:ascii="仿宋" w:hAnsi="仿宋" w:eastAsia="仿宋" w:cs="仿宋"/>
          <w:sz w:val="32"/>
          <w:szCs w:val="32"/>
        </w:rPr>
        <w:fldChar w:fldCharType="end"/>
      </w:r>
      <w:r>
        <w:rPr>
          <w:rFonts w:hint="eastAsia" w:ascii="仿宋" w:hAnsi="仿宋" w:eastAsia="仿宋" w:cs="仿宋"/>
          <w:sz w:val="32"/>
          <w:szCs w:val="32"/>
        </w:rPr>
        <w:t>：负责配合</w:t>
      </w:r>
      <w:r>
        <w:rPr>
          <w:rFonts w:hint="eastAsia" w:ascii="仿宋" w:hAnsi="仿宋" w:eastAsia="仿宋" w:cs="仿宋"/>
          <w:sz w:val="32"/>
          <w:szCs w:val="32"/>
          <w:lang w:eastAsia="zh-CN"/>
        </w:rPr>
        <w:t>区</w:t>
      </w:r>
      <w:r>
        <w:rPr>
          <w:rFonts w:hint="eastAsia" w:ascii="仿宋" w:hAnsi="仿宋" w:eastAsia="仿宋" w:cs="仿宋"/>
          <w:sz w:val="32"/>
          <w:szCs w:val="32"/>
        </w:rPr>
        <w:t>委宣传部组织落实突发环境事件宣传任务，指导当地广播电视新闻媒体等平台在突发环境事件应急工作中协助主管部门发布预警信息和公益广告宣传；配合开展涉突发环境事件舆情分析研判，做好突发环境事件相关信息发布和舆论宣传。</w:t>
      </w:r>
    </w:p>
    <w:p w14:paraId="4337E1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卫生健康局：负责组织、指导和协调医疗卫生资源，开展卫生应急救援。</w:t>
      </w:r>
    </w:p>
    <w:p w14:paraId="2BE300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应急管理局：配合安全生产类、自然灾害类等突发环境事件的应急处置及调查评估工作；及时通报生产安全事故、自然灾害可能引发的次生突发环境事件信息；依法指导、监督有关生产经营单位安全生产情况；在职责范围内指导、监督检查生产安全事故隐患排查治理工作；统筹协调应急救援物资和装备，会同发展改革部门做好基本生活物资储备工作；指导做好受灾群众安置和生活救助,以及因灾倒损民房恢复重建；组织指导救灾捐赠；推动应急避难设施建设</w:t>
      </w:r>
      <w:r>
        <w:rPr>
          <w:rFonts w:hint="eastAsia" w:ascii="仿宋" w:hAnsi="仿宋" w:eastAsia="仿宋" w:cs="仿宋"/>
          <w:sz w:val="32"/>
          <w:szCs w:val="32"/>
          <w:lang w:eastAsia="zh-CN"/>
        </w:rPr>
        <w:t>。</w:t>
      </w:r>
    </w:p>
    <w:p w14:paraId="384FE1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"https://www.shantou.gov.cn/scjgj"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区</w:t>
      </w:r>
      <w:r>
        <w:rPr>
          <w:rFonts w:hint="eastAsia" w:ascii="仿宋" w:hAnsi="仿宋" w:eastAsia="仿宋" w:cs="仿宋"/>
          <w:sz w:val="32"/>
          <w:szCs w:val="32"/>
        </w:rPr>
        <w:t>市场监管局</w:t>
      </w:r>
      <w:r>
        <w:rPr>
          <w:rFonts w:hint="eastAsia" w:ascii="仿宋" w:hAnsi="仿宋" w:eastAsia="仿宋" w:cs="仿宋"/>
          <w:sz w:val="32"/>
          <w:szCs w:val="32"/>
        </w:rPr>
        <w:fldChar w:fldCharType="end"/>
      </w:r>
      <w:r>
        <w:rPr>
          <w:rFonts w:hint="eastAsia" w:ascii="仿宋" w:hAnsi="仿宋" w:eastAsia="仿宋" w:cs="仿宋"/>
          <w:sz w:val="32"/>
          <w:szCs w:val="32"/>
        </w:rPr>
        <w:t>：负责指导应急处置中食品、药品和医疗器械质量监管，保障食品药械安全工作；指导、协调涉及突发环境事件的特种设备事故的应急处置工作；和</w:t>
      </w:r>
      <w:r>
        <w:rPr>
          <w:rFonts w:hint="eastAsia" w:ascii="仿宋" w:hAnsi="仿宋" w:eastAsia="仿宋" w:cs="仿宋"/>
          <w:sz w:val="32"/>
          <w:szCs w:val="32"/>
          <w:lang w:eastAsia="zh-CN"/>
        </w:rPr>
        <w:t>区</w:t>
      </w:r>
      <w:r>
        <w:rPr>
          <w:rFonts w:hint="eastAsia" w:ascii="仿宋" w:hAnsi="仿宋" w:eastAsia="仿宋" w:cs="仿宋"/>
          <w:sz w:val="32"/>
          <w:szCs w:val="32"/>
        </w:rPr>
        <w:t>工业和信息化局共同统筹突发环境事件应急物资生产保障工作。</w:t>
      </w:r>
    </w:p>
    <w:p w14:paraId="561300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城管局：指导各地区提供突发环境事件事故单位现场周边下水管网资料，提出消防废水的防控意见，及时做好消防废水溢出可能进入下水管网的封堵等工作，协助提出危险化学品生产安全事故消防废水防控建议。</w:t>
      </w:r>
    </w:p>
    <w:p w14:paraId="38EF66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）区消防救援大队：负责根据事故灭火救援发展态势,协助提出消防废水防控的意见建议,协助开展下游污染水体应急处置工作。</w:t>
      </w:r>
    </w:p>
    <w:p w14:paraId="0B79DA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）区气象局：负责提供有关的气象监测预报服务；必要时，对突发环境事件区域进行加密气象监测，提供现场气象预报信息并适时开展人工影响天气作业。</w:t>
      </w:r>
    </w:p>
    <w:p w14:paraId="0D6F91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eastAsia" w:ascii="仿宋" w:hAnsi="仿宋" w:eastAsia="仿宋" w:cs="仿宋"/>
          <w:sz w:val="32"/>
          <w:szCs w:val="32"/>
          <w:lang w:eastAsia="zh-CN"/>
        </w:rPr>
      </w:pPr>
      <w:bookmarkStart w:id="9" w:name="_Toc28512"/>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）广东电网公司潮阳供电局:负责突发环境事件现场处置</w:t>
      </w:r>
      <w:bookmarkEnd w:id="9"/>
    </w:p>
    <w:p w14:paraId="1F6362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工作中电力维护、抢修、供应等电力保障工作。</w:t>
      </w:r>
    </w:p>
    <w:p w14:paraId="76A2CE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对需要市协调处置的一般及以上突发环境事件，由区生态环境分局向市生态环境局提出请求，或由区人民政府向市人民政府提出请求。省或市已成立环境应急指挥部或已派出地方工作组的，区应急指挥部负责配合省或市环境应急指挥部（工作组）开展突发环境事件应对工作。</w:t>
      </w:r>
    </w:p>
    <w:p w14:paraId="5BB6BA05">
      <w:pPr>
        <w:pStyle w:val="3"/>
        <w:bidi w:val="0"/>
        <w:rPr>
          <w:rFonts w:hint="eastAsia" w:ascii="楷体" w:hAnsi="楷体" w:eastAsia="楷体" w:cs="楷体"/>
          <w:spacing w:val="10"/>
          <w:szCs w:val="32"/>
          <w:lang w:eastAsia="zh-CN"/>
          <w14:textOutline w14:w="5792" w14:cap="flat" w14:cmpd="sng">
            <w14:solidFill>
              <w14:srgbClr w14:val="000000"/>
            </w14:solidFill>
            <w14:prstDash w14:val="solid"/>
            <w14:miter w14:val="0"/>
          </w14:textOutline>
        </w:rPr>
      </w:pPr>
      <w:bookmarkStart w:id="10" w:name="_Toc4986"/>
      <w:r>
        <w:rPr>
          <w:rFonts w:hint="eastAsia"/>
          <w:lang w:eastAsia="zh-CN"/>
        </w:rPr>
        <w:t>（二）区突发环境事件应急指挥部办公室</w:t>
      </w:r>
      <w:bookmarkEnd w:id="10"/>
    </w:p>
    <w:p w14:paraId="21E560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区突发环境事件</w:t>
      </w:r>
      <w:r>
        <w:rPr>
          <w:rFonts w:hint="eastAsia" w:ascii="仿宋" w:hAnsi="仿宋" w:eastAsia="仿宋" w:cs="仿宋"/>
          <w:sz w:val="32"/>
          <w:szCs w:val="32"/>
        </w:rPr>
        <w:t>应急指挥部办公室设在</w:t>
      </w:r>
      <w:r>
        <w:rPr>
          <w:rFonts w:hint="eastAsia" w:ascii="仿宋" w:hAnsi="仿宋" w:eastAsia="仿宋" w:cs="仿宋"/>
          <w:sz w:val="32"/>
          <w:szCs w:val="32"/>
          <w:lang w:eastAsia="zh-CN"/>
        </w:rPr>
        <w:t>区生态环境分局</w:t>
      </w:r>
      <w:r>
        <w:rPr>
          <w:rFonts w:hint="eastAsia" w:ascii="仿宋" w:hAnsi="仿宋" w:eastAsia="仿宋" w:cs="仿宋"/>
          <w:sz w:val="32"/>
          <w:szCs w:val="32"/>
        </w:rPr>
        <w:t>。主要职责：贯彻落实</w:t>
      </w:r>
      <w:r>
        <w:rPr>
          <w:rFonts w:hint="eastAsia" w:ascii="仿宋" w:hAnsi="仿宋" w:eastAsia="仿宋" w:cs="仿宋"/>
          <w:sz w:val="32"/>
          <w:szCs w:val="32"/>
          <w:lang w:eastAsia="zh-CN"/>
        </w:rPr>
        <w:t>区</w:t>
      </w:r>
      <w:r>
        <w:rPr>
          <w:rFonts w:hint="eastAsia" w:ascii="仿宋" w:hAnsi="仿宋" w:eastAsia="仿宋" w:cs="仿宋"/>
          <w:sz w:val="32"/>
          <w:szCs w:val="32"/>
        </w:rPr>
        <w:t>应急指挥部决定和部署，协调</w:t>
      </w:r>
      <w:r>
        <w:rPr>
          <w:rFonts w:hint="eastAsia" w:ascii="仿宋" w:hAnsi="仿宋" w:eastAsia="仿宋" w:cs="仿宋"/>
          <w:sz w:val="32"/>
          <w:szCs w:val="32"/>
          <w:lang w:eastAsia="zh-CN"/>
        </w:rPr>
        <w:t>区突发环境事件</w:t>
      </w:r>
      <w:r>
        <w:rPr>
          <w:rFonts w:hint="eastAsia" w:ascii="仿宋" w:hAnsi="仿宋" w:eastAsia="仿宋" w:cs="仿宋"/>
          <w:sz w:val="32"/>
          <w:szCs w:val="32"/>
        </w:rPr>
        <w:t>应急指挥部各成员单位参与应急处置工作；及时汇总、上报应急处置情况；完成</w:t>
      </w:r>
      <w:r>
        <w:rPr>
          <w:rFonts w:hint="eastAsia" w:ascii="仿宋" w:hAnsi="仿宋" w:eastAsia="仿宋" w:cs="仿宋"/>
          <w:sz w:val="32"/>
          <w:szCs w:val="32"/>
          <w:lang w:eastAsia="zh-CN"/>
        </w:rPr>
        <w:t>区突发环境事件</w:t>
      </w:r>
      <w:r>
        <w:rPr>
          <w:rFonts w:hint="eastAsia" w:ascii="仿宋" w:hAnsi="仿宋" w:eastAsia="仿宋" w:cs="仿宋"/>
          <w:sz w:val="32"/>
          <w:szCs w:val="32"/>
        </w:rPr>
        <w:t>应急指挥部交办的其他任务。</w:t>
      </w:r>
    </w:p>
    <w:p w14:paraId="2A5F1EA7">
      <w:pPr>
        <w:pStyle w:val="3"/>
        <w:bidi w:val="0"/>
        <w:rPr>
          <w:rFonts w:hint="eastAsia" w:ascii="仿宋" w:hAnsi="仿宋" w:eastAsia="仿宋" w:cs="仿宋"/>
          <w:szCs w:val="31"/>
        </w:rPr>
      </w:pPr>
      <w:bookmarkStart w:id="11" w:name="_Toc21467"/>
      <w:r>
        <w:rPr>
          <w:rFonts w:hint="eastAsia"/>
        </w:rPr>
        <w:t>（三）</w:t>
      </w:r>
      <w:r>
        <w:rPr>
          <w:rFonts w:hint="eastAsia"/>
          <w:lang w:eastAsia="zh-CN"/>
        </w:rPr>
        <w:t>区</w:t>
      </w:r>
      <w:r>
        <w:rPr>
          <w:rFonts w:hint="eastAsia"/>
        </w:rPr>
        <w:t>突发环境事件现场指挥机构</w:t>
      </w:r>
      <w:bookmarkEnd w:id="11"/>
    </w:p>
    <w:p w14:paraId="3EF08657">
      <w:pPr>
        <w:keepNext w:val="0"/>
        <w:keepLines w:val="0"/>
        <w:pageBreakBefore w:val="0"/>
        <w:widowControl/>
        <w:kinsoku w:val="0"/>
        <w:wordWrap/>
        <w:overflowPunct/>
        <w:topLinePunct w:val="0"/>
        <w:autoSpaceDE w:val="0"/>
        <w:autoSpaceDN w:val="0"/>
        <w:bidi w:val="0"/>
        <w:adjustRightInd w:val="0"/>
        <w:snapToGrid w:val="0"/>
        <w:spacing w:line="560" w:lineRule="exact"/>
        <w:ind w:left="7" w:right="2" w:firstLine="640"/>
        <w:jc w:val="both"/>
        <w:textAlignment w:val="baseline"/>
        <w:rPr>
          <w:rFonts w:ascii="仿宋" w:hAnsi="仿宋" w:eastAsia="仿宋" w:cs="仿宋"/>
          <w:sz w:val="32"/>
          <w:szCs w:val="32"/>
        </w:rPr>
      </w:pPr>
      <w:r>
        <w:rPr>
          <w:rFonts w:ascii="仿宋" w:hAnsi="仿宋" w:eastAsia="仿宋" w:cs="仿宋"/>
          <w:spacing w:val="11"/>
          <w:sz w:val="32"/>
          <w:szCs w:val="32"/>
        </w:rPr>
        <w:t>初判发生较大以上突发环境事件后,区人民政府应当设立区突</w:t>
      </w:r>
      <w:r>
        <w:rPr>
          <w:rFonts w:ascii="仿宋" w:hAnsi="仿宋" w:eastAsia="仿宋" w:cs="仿宋"/>
          <w:spacing w:val="3"/>
          <w:sz w:val="32"/>
          <w:szCs w:val="32"/>
        </w:rPr>
        <w:t>发环境</w:t>
      </w:r>
      <w:r>
        <w:rPr>
          <w:rFonts w:ascii="仿宋" w:hAnsi="仿宋" w:eastAsia="仿宋" w:cs="仿宋"/>
          <w:spacing w:val="11"/>
          <w:sz w:val="32"/>
          <w:szCs w:val="32"/>
        </w:rPr>
        <w:t>事件</w:t>
      </w:r>
      <w:r>
        <w:rPr>
          <w:rFonts w:ascii="仿宋" w:hAnsi="仿宋" w:eastAsia="仿宋" w:cs="仿宋"/>
          <w:spacing w:val="3"/>
          <w:sz w:val="32"/>
          <w:szCs w:val="32"/>
        </w:rPr>
        <w:t>现场指挥机构（以下简称</w:t>
      </w:r>
      <w:r>
        <w:rPr>
          <w:rFonts w:hint="eastAsia" w:ascii="仿宋" w:hAnsi="仿宋" w:eastAsia="仿宋" w:cs="仿宋"/>
          <w:spacing w:val="3"/>
          <w:sz w:val="32"/>
          <w:szCs w:val="32"/>
          <w:lang w:eastAsia="zh-CN"/>
        </w:rPr>
        <w:t>区</w:t>
      </w:r>
      <w:r>
        <w:rPr>
          <w:rFonts w:ascii="仿宋" w:hAnsi="仿宋" w:eastAsia="仿宋" w:cs="仿宋"/>
          <w:spacing w:val="3"/>
          <w:sz w:val="32"/>
          <w:szCs w:val="32"/>
        </w:rPr>
        <w:t>现场指挥机构</w:t>
      </w:r>
      <w:r>
        <w:rPr>
          <w:rFonts w:ascii="仿宋" w:hAnsi="仿宋" w:eastAsia="仿宋" w:cs="仿宋"/>
          <w:spacing w:val="-62"/>
          <w:sz w:val="32"/>
          <w:szCs w:val="32"/>
        </w:rPr>
        <w:t>），</w:t>
      </w:r>
      <w:r>
        <w:rPr>
          <w:rFonts w:ascii="仿宋" w:hAnsi="仿宋" w:eastAsia="仿宋" w:cs="仿宋"/>
          <w:spacing w:val="3"/>
          <w:sz w:val="32"/>
          <w:szCs w:val="32"/>
        </w:rPr>
        <w:t>统一组织、</w:t>
      </w:r>
      <w:r>
        <w:rPr>
          <w:rFonts w:ascii="仿宋" w:hAnsi="仿宋" w:eastAsia="仿宋" w:cs="仿宋"/>
          <w:spacing w:val="8"/>
          <w:sz w:val="32"/>
          <w:szCs w:val="32"/>
        </w:rPr>
        <w:t>协调指挥突发环境事件现场应急处置工作。</w:t>
      </w:r>
    </w:p>
    <w:p w14:paraId="2D445887">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41"/>
        <w:jc w:val="both"/>
        <w:textAlignment w:val="baseline"/>
        <w:rPr>
          <w:rFonts w:ascii="仿宋" w:hAnsi="仿宋" w:eastAsia="仿宋" w:cs="仿宋"/>
          <w:spacing w:val="11"/>
          <w:sz w:val="32"/>
          <w:szCs w:val="32"/>
        </w:rPr>
      </w:pPr>
      <w:r>
        <w:rPr>
          <w:rFonts w:hint="eastAsia" w:ascii="仿宋" w:hAnsi="仿宋" w:eastAsia="仿宋" w:cs="仿宋"/>
          <w:spacing w:val="11"/>
          <w:sz w:val="32"/>
          <w:szCs w:val="32"/>
          <w:lang w:eastAsia="zh-CN"/>
        </w:rPr>
        <w:t>区</w:t>
      </w:r>
      <w:r>
        <w:rPr>
          <w:rFonts w:ascii="仿宋" w:hAnsi="仿宋" w:eastAsia="仿宋" w:cs="仿宋"/>
          <w:spacing w:val="11"/>
          <w:sz w:val="32"/>
          <w:szCs w:val="32"/>
        </w:rPr>
        <w:t>现场指挥机构可根据应对工作需要设立相应工作组，工作组通常分为综合协调组、污染处置组、专家咨询组、应急监测组、医学救援组、应急保障组、舆情宣传组、社会稳定组等。工作组设置、组成和职责可根据工作需要作适当调整（各工作组组成和职责见附录）。</w:t>
      </w:r>
    </w:p>
    <w:p w14:paraId="10C82787">
      <w:pPr>
        <w:pStyle w:val="3"/>
        <w:bidi w:val="0"/>
        <w:rPr>
          <w:rFonts w:hint="eastAsia"/>
          <w:lang w:eastAsia="zh-CN"/>
        </w:rPr>
      </w:pPr>
      <w:bookmarkStart w:id="12" w:name="_Toc26270"/>
      <w:r>
        <w:rPr>
          <w:rFonts w:hint="eastAsia"/>
          <w:lang w:eastAsia="zh-CN"/>
        </w:rPr>
        <w:t>（四）镇（街道）突发环境事件应急指挥机构</w:t>
      </w:r>
      <w:bookmarkEnd w:id="12"/>
    </w:p>
    <w:p w14:paraId="156935BE">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41"/>
        <w:jc w:val="both"/>
        <w:textAlignment w:val="baseline"/>
        <w:rPr>
          <w:rFonts w:ascii="仿宋" w:hAnsi="仿宋" w:eastAsia="仿宋" w:cs="仿宋"/>
          <w:spacing w:val="11"/>
          <w:sz w:val="32"/>
          <w:szCs w:val="32"/>
        </w:rPr>
      </w:pPr>
      <w:r>
        <w:rPr>
          <w:rFonts w:ascii="仿宋" w:hAnsi="仿宋" w:eastAsia="仿宋" w:cs="仿宋"/>
          <w:spacing w:val="11"/>
          <w:sz w:val="32"/>
          <w:szCs w:val="32"/>
        </w:rPr>
        <w:t>各</w:t>
      </w:r>
      <w:r>
        <w:rPr>
          <w:rFonts w:hint="eastAsia" w:ascii="仿宋" w:hAnsi="仿宋" w:eastAsia="仿宋" w:cs="仿宋"/>
          <w:spacing w:val="11"/>
          <w:sz w:val="32"/>
          <w:szCs w:val="32"/>
          <w:lang w:eastAsia="zh-CN"/>
        </w:rPr>
        <w:t>镇</w:t>
      </w:r>
      <w:r>
        <w:rPr>
          <w:rFonts w:ascii="仿宋" w:hAnsi="仿宋" w:eastAsia="仿宋" w:cs="仿宋"/>
          <w:spacing w:val="11"/>
          <w:sz w:val="32"/>
          <w:szCs w:val="32"/>
        </w:rPr>
        <w:t>（</w:t>
      </w:r>
      <w:r>
        <w:rPr>
          <w:rFonts w:hint="eastAsia" w:ascii="仿宋" w:hAnsi="仿宋" w:eastAsia="仿宋" w:cs="仿宋"/>
          <w:spacing w:val="11"/>
          <w:sz w:val="32"/>
          <w:szCs w:val="32"/>
          <w:lang w:eastAsia="zh-CN"/>
        </w:rPr>
        <w:t>街道</w:t>
      </w:r>
      <w:r>
        <w:rPr>
          <w:rFonts w:ascii="仿宋" w:hAnsi="仿宋" w:eastAsia="仿宋" w:cs="仿宋"/>
          <w:spacing w:val="11"/>
          <w:sz w:val="32"/>
          <w:szCs w:val="32"/>
        </w:rPr>
        <w:t>）人民政府参照本预案，设立突发环境事件应急指挥部，负责本级行政区域突发环境事件防范应对和组织协调指挥等工作。</w:t>
      </w:r>
    </w:p>
    <w:p w14:paraId="49E54070">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41"/>
        <w:jc w:val="both"/>
        <w:textAlignment w:val="baseline"/>
        <w:rPr>
          <w:rFonts w:ascii="仿宋" w:hAnsi="仿宋" w:eastAsia="仿宋" w:cs="仿宋"/>
          <w:spacing w:val="11"/>
          <w:sz w:val="32"/>
          <w:szCs w:val="32"/>
        </w:rPr>
      </w:pPr>
      <w:r>
        <w:rPr>
          <w:rFonts w:ascii="仿宋" w:hAnsi="仿宋" w:eastAsia="仿宋" w:cs="仿宋"/>
          <w:spacing w:val="11"/>
          <w:sz w:val="32"/>
          <w:szCs w:val="32"/>
        </w:rPr>
        <w:t>初判发生一般突发环境事件,由区（县）级人民政府负责应对,各</w:t>
      </w:r>
      <w:r>
        <w:rPr>
          <w:rFonts w:hint="eastAsia" w:ascii="仿宋" w:hAnsi="仿宋" w:eastAsia="仿宋" w:cs="仿宋"/>
          <w:spacing w:val="11"/>
          <w:sz w:val="32"/>
          <w:szCs w:val="32"/>
          <w:lang w:eastAsia="zh-CN"/>
        </w:rPr>
        <w:t>镇</w:t>
      </w:r>
      <w:r>
        <w:rPr>
          <w:rFonts w:ascii="仿宋" w:hAnsi="仿宋" w:eastAsia="仿宋" w:cs="仿宋"/>
          <w:spacing w:val="11"/>
          <w:sz w:val="32"/>
          <w:szCs w:val="32"/>
        </w:rPr>
        <w:t>（</w:t>
      </w:r>
      <w:r>
        <w:rPr>
          <w:rFonts w:hint="eastAsia" w:ascii="仿宋" w:hAnsi="仿宋" w:eastAsia="仿宋" w:cs="仿宋"/>
          <w:spacing w:val="11"/>
          <w:sz w:val="32"/>
          <w:szCs w:val="32"/>
          <w:lang w:eastAsia="zh-CN"/>
        </w:rPr>
        <w:t>街道</w:t>
      </w:r>
      <w:r>
        <w:rPr>
          <w:rFonts w:ascii="仿宋" w:hAnsi="仿宋" w:eastAsia="仿宋" w:cs="仿宋"/>
          <w:spacing w:val="11"/>
          <w:sz w:val="32"/>
          <w:szCs w:val="32"/>
        </w:rPr>
        <w:t>）人民政府视情设立现场指挥机构。</w:t>
      </w:r>
      <w:r>
        <w:rPr>
          <w:rFonts w:hint="eastAsia" w:ascii="仿宋" w:hAnsi="仿宋" w:eastAsia="仿宋" w:cs="仿宋"/>
          <w:spacing w:val="11"/>
          <w:sz w:val="32"/>
          <w:szCs w:val="32"/>
          <w:lang w:eastAsia="zh-CN"/>
        </w:rPr>
        <w:t>区</w:t>
      </w:r>
      <w:r>
        <w:rPr>
          <w:rFonts w:ascii="仿宋" w:hAnsi="仿宋" w:eastAsia="仿宋" w:cs="仿宋"/>
          <w:spacing w:val="11"/>
          <w:sz w:val="32"/>
          <w:szCs w:val="32"/>
        </w:rPr>
        <w:t>有关单位进行指导。</w:t>
      </w:r>
    </w:p>
    <w:p w14:paraId="12367958">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41"/>
        <w:jc w:val="both"/>
        <w:textAlignment w:val="baseline"/>
        <w:rPr>
          <w:rFonts w:ascii="仿宋" w:hAnsi="仿宋" w:eastAsia="仿宋" w:cs="仿宋"/>
          <w:spacing w:val="11"/>
          <w:sz w:val="32"/>
          <w:szCs w:val="32"/>
        </w:rPr>
      </w:pPr>
      <w:r>
        <w:rPr>
          <w:rFonts w:ascii="仿宋" w:hAnsi="仿宋" w:eastAsia="仿宋" w:cs="仿宋"/>
          <w:spacing w:val="11"/>
          <w:sz w:val="32"/>
          <w:szCs w:val="32"/>
        </w:rPr>
        <w:t>跨区（县）行政区域的突发环境事件应对工作，由各有关行政区域的区（县）人民政府共同负责。对需要市级协调处置的跨行政区域突发环境事件，由有关区（县）人民政府向市人民政府提出请求。鼓励相邻、相近的区（县）人民政府及其有关部门联合制定应对区域性、流域性突发环境事件的联合应急预案、建立应急联动机制。</w:t>
      </w:r>
    </w:p>
    <w:p w14:paraId="26D87369">
      <w:pPr>
        <w:pStyle w:val="3"/>
        <w:bidi w:val="0"/>
        <w:rPr>
          <w:rFonts w:hint="eastAsia"/>
          <w:lang w:eastAsia="zh-CN"/>
        </w:rPr>
      </w:pPr>
      <w:bookmarkStart w:id="13" w:name="_Toc25809"/>
      <w:r>
        <w:rPr>
          <w:rFonts w:hint="eastAsia"/>
          <w:lang w:val="en-US" w:eastAsia="en-US"/>
        </w:rPr>
        <w:t>（五）</w:t>
      </w:r>
      <w:r>
        <w:rPr>
          <w:rFonts w:hint="eastAsia"/>
          <w:lang w:eastAsia="zh-CN"/>
        </w:rPr>
        <w:t>专家组</w:t>
      </w:r>
      <w:bookmarkEnd w:id="13"/>
    </w:p>
    <w:p w14:paraId="07673AC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560" w:lineRule="exact"/>
        <w:ind w:right="2" w:rightChars="0" w:firstLine="684" w:firstLineChars="200"/>
        <w:jc w:val="both"/>
        <w:textAlignment w:val="baseline"/>
        <w:rPr>
          <w:rFonts w:ascii="仿宋" w:hAnsi="仿宋" w:eastAsia="仿宋" w:cs="仿宋"/>
          <w:spacing w:val="11"/>
          <w:sz w:val="32"/>
          <w:szCs w:val="32"/>
        </w:rPr>
      </w:pPr>
      <w:r>
        <w:rPr>
          <w:rFonts w:hint="eastAsia" w:ascii="仿宋" w:hAnsi="仿宋" w:eastAsia="仿宋" w:cs="仿宋"/>
          <w:spacing w:val="11"/>
          <w:sz w:val="32"/>
          <w:szCs w:val="32"/>
          <w:lang w:eastAsia="zh-CN"/>
        </w:rPr>
        <w:t>依托市</w:t>
      </w:r>
      <w:r>
        <w:rPr>
          <w:rFonts w:ascii="仿宋" w:hAnsi="仿宋" w:eastAsia="仿宋" w:cs="仿宋"/>
          <w:spacing w:val="11"/>
          <w:sz w:val="32"/>
          <w:szCs w:val="32"/>
        </w:rPr>
        <w:t>生态环境部门建立突发环境事件防范应对专家库,根据需要组织专家提供突发环境事件风险防控、应急处置与救援、调查评估等决策咨询服务。</w:t>
      </w:r>
    </w:p>
    <w:p w14:paraId="1193D065">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Arial" w:hAnsi="Arial"/>
          <w:b/>
        </w:rPr>
      </w:pPr>
      <w:bookmarkStart w:id="14" w:name="_Toc28725"/>
      <w:r>
        <w:rPr>
          <w:rFonts w:hint="eastAsia" w:ascii="Arial" w:hAnsi="Arial"/>
          <w:b/>
        </w:rPr>
        <w:t>三、运行机制</w:t>
      </w:r>
      <w:bookmarkEnd w:id="14"/>
    </w:p>
    <w:p w14:paraId="1FD619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560" w:lineRule="exact"/>
        <w:ind w:right="2" w:rightChars="0" w:firstLine="684" w:firstLineChars="200"/>
        <w:jc w:val="both"/>
        <w:textAlignment w:val="baseline"/>
        <w:rPr>
          <w:rFonts w:ascii="仿宋" w:hAnsi="仿宋" w:eastAsia="仿宋" w:cs="仿宋"/>
          <w:spacing w:val="11"/>
          <w:sz w:val="32"/>
          <w:szCs w:val="32"/>
        </w:rPr>
      </w:pPr>
      <w:r>
        <w:rPr>
          <w:rFonts w:hint="eastAsia" w:ascii="仿宋" w:hAnsi="仿宋" w:eastAsia="仿宋" w:cs="仿宋"/>
          <w:spacing w:val="11"/>
          <w:sz w:val="32"/>
          <w:szCs w:val="32"/>
        </w:rPr>
        <w:t>各级人民政府应当建立健全风险防控、监测预警、应急处置与救援、后期工作等工作机制</w:t>
      </w:r>
      <w:r>
        <w:rPr>
          <w:rFonts w:ascii="仿宋" w:hAnsi="仿宋" w:eastAsia="仿宋" w:cs="仿宋"/>
          <w:spacing w:val="11"/>
          <w:sz w:val="32"/>
          <w:szCs w:val="32"/>
        </w:rPr>
        <w:t>。</w:t>
      </w:r>
    </w:p>
    <w:p w14:paraId="4EE589B0">
      <w:pPr>
        <w:pStyle w:val="3"/>
        <w:bidi w:val="0"/>
        <w:rPr>
          <w:rFonts w:hint="eastAsia"/>
          <w:lang w:eastAsia="zh-CN"/>
        </w:rPr>
      </w:pPr>
      <w:bookmarkStart w:id="15" w:name="_Toc32706"/>
      <w:r>
        <w:rPr>
          <w:rFonts w:hint="eastAsia"/>
          <w:lang w:eastAsia="zh-CN"/>
        </w:rPr>
        <w:t>（一）风险防控</w:t>
      </w:r>
      <w:bookmarkEnd w:id="15"/>
    </w:p>
    <w:p w14:paraId="708B25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各级人民政府要健全环境风险防范化解机制,提升环境风险早期识别能力，指导企事业单位开展突发环境事件风险评估,研究制定环境风险分类分级标准和管理办法,对不同类别的环境风险实行差异化监督管理。</w:t>
      </w:r>
    </w:p>
    <w:p w14:paraId="50CAF4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有关部门要加强与相关各方的沟通,及时发现和处置各类环境风险隐患,落实环境风险管控和隐患治理措施;对重大环境风险点和危险源,督促制定防控措施和应急预案,同时做好应急准备工作</w:t>
      </w:r>
      <w:r>
        <w:rPr>
          <w:rFonts w:hint="eastAsia" w:ascii="仿宋" w:hAnsi="仿宋" w:eastAsia="仿宋" w:cs="仿宋"/>
          <w:sz w:val="32"/>
          <w:szCs w:val="32"/>
          <w:lang w:eastAsia="zh-CN"/>
        </w:rPr>
        <w:t>。</w:t>
      </w:r>
    </w:p>
    <w:p w14:paraId="2636875A">
      <w:pPr>
        <w:pStyle w:val="3"/>
        <w:bidi w:val="0"/>
        <w:rPr>
          <w:rFonts w:hint="eastAsia" w:ascii="楷体" w:hAnsi="楷体" w:eastAsia="楷体" w:cs="楷体"/>
          <w:spacing w:val="10"/>
          <w:szCs w:val="32"/>
          <w:lang w:eastAsia="zh-CN"/>
          <w14:textOutline w14:w="5792" w14:cap="flat" w14:cmpd="sng">
            <w14:solidFill>
              <w14:srgbClr w14:val="000000"/>
            </w14:solidFill>
            <w14:prstDash w14:val="solid"/>
            <w14:miter w14:val="0"/>
          </w14:textOutline>
        </w:rPr>
      </w:pPr>
      <w:bookmarkStart w:id="16" w:name="_Toc12513"/>
      <w:r>
        <w:rPr>
          <w:rFonts w:hint="eastAsia"/>
          <w:lang w:eastAsia="zh-CN"/>
        </w:rPr>
        <w:t>（二）监测预警</w:t>
      </w:r>
      <w:bookmarkEnd w:id="16"/>
    </w:p>
    <w:p w14:paraId="7E6D3F73">
      <w:pPr>
        <w:pStyle w:val="4"/>
        <w:bidi w:val="0"/>
        <w:rPr>
          <w:rFonts w:hint="eastAsia" w:ascii="楷体" w:hAnsi="楷体" w:eastAsia="楷体" w:cs="楷体"/>
          <w:spacing w:val="10"/>
          <w:szCs w:val="32"/>
          <w:lang w:eastAsia="zh-CN"/>
          <w14:textOutline w14:w="5792" w14:cap="flat" w14:cmpd="sng">
            <w14:solidFill>
              <w14:srgbClr w14:val="000000"/>
            </w14:solidFill>
            <w14:prstDash w14:val="solid"/>
            <w14:miter w14:val="0"/>
          </w14:textOutline>
        </w:rPr>
      </w:pPr>
      <w:bookmarkStart w:id="17" w:name="_Toc24417"/>
      <w:r>
        <w:rPr>
          <w:rFonts w:hint="eastAsia"/>
          <w:lang w:eastAsia="zh-CN"/>
        </w:rPr>
        <w:t>1.监测</w:t>
      </w:r>
      <w:bookmarkEnd w:id="17"/>
    </w:p>
    <w:p w14:paraId="5A9E59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区</w:t>
      </w:r>
      <w:r>
        <w:rPr>
          <w:rFonts w:hint="eastAsia" w:ascii="仿宋" w:hAnsi="仿宋" w:eastAsia="仿宋" w:cs="仿宋"/>
          <w:sz w:val="32"/>
          <w:szCs w:val="32"/>
        </w:rPr>
        <w:t>应急指挥部有关成员单位要建立健全突发环境事件监测制度、监测信息共享和通报机制，要按照职责分工，开展数据收集、监测监控、统计分析、风险评估、信息接收等监测预警工作。</w:t>
      </w:r>
    </w:p>
    <w:p w14:paraId="4D3BDB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 w:hAnsi="仿宋" w:eastAsia="仿宋" w:cs="仿宋"/>
          <w:spacing w:val="7"/>
          <w:sz w:val="31"/>
          <w:szCs w:val="31"/>
        </w:rPr>
      </w:pPr>
      <w:r>
        <w:rPr>
          <w:rFonts w:hint="eastAsia" w:ascii="仿宋" w:hAnsi="仿宋" w:eastAsia="仿宋" w:cs="仿宋"/>
          <w:sz w:val="32"/>
          <w:szCs w:val="32"/>
        </w:rPr>
        <w:t>生态环境部门要加强日常环境质量监测和企业污染排放环境执法监察，并通过互联网信息监测、环境污染举报热线等多种渠道，加强对可能导致突发环境事件的风险信息收集，及时掌握突发环境事件发生情况并开展分析研判。公安、城管、交通运输、水务、农业农村、卫生健康、应急管理、气象、海事、消防救援等有关部门</w:t>
      </w:r>
      <w:r>
        <w:rPr>
          <w:rFonts w:hint="eastAsia" w:ascii="仿宋" w:hAnsi="仿宋" w:eastAsia="仿宋" w:cs="仿宋"/>
          <w:spacing w:val="7"/>
          <w:sz w:val="32"/>
          <w:szCs w:val="32"/>
        </w:rPr>
        <w:t>按照职责分工，负责相关突发环境事件信息处理及监控，及时将可能导致突发环境事件的信息通报同级生态环境部门</w:t>
      </w:r>
      <w:r>
        <w:rPr>
          <w:rFonts w:ascii="仿宋" w:hAnsi="仿宋" w:eastAsia="仿宋" w:cs="仿宋"/>
          <w:spacing w:val="7"/>
          <w:sz w:val="31"/>
          <w:szCs w:val="31"/>
        </w:rPr>
        <w:t>。</w:t>
      </w:r>
    </w:p>
    <w:p w14:paraId="6699B6C1">
      <w:pPr>
        <w:pStyle w:val="4"/>
        <w:bidi w:val="0"/>
        <w:rPr>
          <w:rFonts w:hint="eastAsia"/>
        </w:rPr>
      </w:pPr>
      <w:bookmarkStart w:id="18" w:name="_Toc10939"/>
      <w:r>
        <w:rPr>
          <w:rFonts w:hint="eastAsia"/>
        </w:rPr>
        <w:t>2.预警</w:t>
      </w:r>
      <w:bookmarkEnd w:id="18"/>
    </w:p>
    <w:p w14:paraId="60E18A09">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6" w:right="2" w:firstLine="640"/>
        <w:jc w:val="both"/>
        <w:textAlignment w:val="baseline"/>
        <w:rPr>
          <w:rFonts w:ascii="仿宋" w:hAnsi="仿宋" w:eastAsia="仿宋" w:cs="仿宋"/>
          <w:sz w:val="32"/>
          <w:szCs w:val="32"/>
        </w:rPr>
      </w:pPr>
      <w:r>
        <w:rPr>
          <w:rFonts w:ascii="仿宋" w:hAnsi="仿宋" w:eastAsia="仿宋" w:cs="仿宋"/>
          <w:spacing w:val="18"/>
          <w:sz w:val="32"/>
          <w:szCs w:val="32"/>
        </w:rPr>
        <w:t>各级人民政府及其有关部门要建立健全突发环境事件预</w:t>
      </w:r>
      <w:r>
        <w:rPr>
          <w:rFonts w:ascii="仿宋" w:hAnsi="仿宋" w:eastAsia="仿宋" w:cs="仿宋"/>
          <w:spacing w:val="17"/>
          <w:sz w:val="32"/>
          <w:szCs w:val="32"/>
        </w:rPr>
        <w:t>警制度,加强突发环境事件预警信息发布能力建设,</w:t>
      </w:r>
      <w:r>
        <w:rPr>
          <w:rFonts w:ascii="仿宋" w:hAnsi="仿宋" w:eastAsia="仿宋" w:cs="仿宋"/>
          <w:spacing w:val="16"/>
          <w:sz w:val="32"/>
          <w:szCs w:val="32"/>
        </w:rPr>
        <w:t>建立预警信息快速</w:t>
      </w:r>
      <w:r>
        <w:rPr>
          <w:rFonts w:ascii="仿宋" w:hAnsi="仿宋" w:eastAsia="仿宋" w:cs="仿宋"/>
          <w:spacing w:val="6"/>
          <w:sz w:val="32"/>
          <w:szCs w:val="32"/>
        </w:rPr>
        <w:t>发布和传播机制,扩大社会公众覆盖面,解决预警信息发布“</w:t>
      </w:r>
      <w:r>
        <w:rPr>
          <w:rFonts w:ascii="仿宋" w:hAnsi="仿宋" w:eastAsia="仿宋" w:cs="仿宋"/>
          <w:spacing w:val="5"/>
          <w:sz w:val="32"/>
          <w:szCs w:val="32"/>
        </w:rPr>
        <w:t>最后一</w:t>
      </w:r>
      <w:r>
        <w:rPr>
          <w:rFonts w:ascii="仿宋" w:hAnsi="仿宋" w:eastAsia="仿宋" w:cs="仿宋"/>
          <w:spacing w:val="-3"/>
          <w:sz w:val="32"/>
          <w:szCs w:val="32"/>
        </w:rPr>
        <w:t>公里”问题。</w:t>
      </w:r>
    </w:p>
    <w:p w14:paraId="02B869F8">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640"/>
        <w:textAlignment w:val="baseline"/>
        <w:rPr>
          <w:rFonts w:hint="eastAsia" w:ascii="仿宋" w:hAnsi="仿宋" w:eastAsia="仿宋" w:cs="仿宋"/>
          <w:sz w:val="32"/>
          <w:szCs w:val="32"/>
        </w:rPr>
      </w:pPr>
      <w:r>
        <w:rPr>
          <w:rFonts w:hint="eastAsia" w:ascii="仿宋" w:hAnsi="仿宋" w:eastAsia="仿宋" w:cs="仿宋"/>
          <w:spacing w:val="9"/>
          <w:sz w:val="32"/>
          <w:szCs w:val="32"/>
          <w14:textOutline w14:w="5792" w14:cap="flat" w14:cmpd="sng">
            <w14:solidFill>
              <w14:srgbClr w14:val="000000"/>
            </w14:solidFill>
            <w14:prstDash w14:val="solid"/>
            <w14:miter w14:val="0"/>
          </w14:textOutline>
        </w:rPr>
        <w:t>（</w:t>
      </w:r>
      <w:r>
        <w:rPr>
          <w:rFonts w:hint="eastAsia" w:ascii="仿宋" w:hAnsi="仿宋" w:eastAsia="仿宋" w:cs="仿宋"/>
          <w:b/>
          <w:bCs/>
          <w:spacing w:val="9"/>
          <w:sz w:val="32"/>
          <w:szCs w:val="32"/>
        </w:rPr>
        <w:t>1</w:t>
      </w:r>
      <w:r>
        <w:rPr>
          <w:rFonts w:hint="eastAsia" w:ascii="仿宋" w:hAnsi="仿宋" w:eastAsia="仿宋" w:cs="仿宋"/>
          <w:spacing w:val="9"/>
          <w:sz w:val="32"/>
          <w:szCs w:val="32"/>
          <w14:textOutline w14:w="5792" w14:cap="flat" w14:cmpd="sng">
            <w14:solidFill>
              <w14:srgbClr w14:val="000000"/>
            </w14:solidFill>
            <w14:prstDash w14:val="solid"/>
            <w14:miter w14:val="0"/>
          </w14:textOutline>
        </w:rPr>
        <w:t>）预警分级</w:t>
      </w:r>
    </w:p>
    <w:p w14:paraId="090284F1">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19" w:right="2" w:firstLine="642"/>
        <w:jc w:val="both"/>
        <w:textAlignment w:val="baseline"/>
        <w:rPr>
          <w:rFonts w:ascii="仿宋" w:hAnsi="仿宋" w:eastAsia="仿宋" w:cs="仿宋"/>
          <w:sz w:val="31"/>
          <w:szCs w:val="31"/>
        </w:rPr>
      </w:pPr>
      <w:r>
        <w:rPr>
          <w:rFonts w:ascii="仿宋" w:hAnsi="仿宋" w:eastAsia="仿宋" w:cs="仿宋"/>
          <w:spacing w:val="5"/>
          <w:sz w:val="32"/>
          <w:szCs w:val="32"/>
        </w:rPr>
        <w:t>可以预警的突发环境事件的预警级别，按照突发环境事件发生的紧急程度、发展态势和可能造成的社会危害程度，突发环境事件预警级别由高到低依次用红色、橙色、黄色、蓝色表示，分别对应</w:t>
      </w:r>
      <w:r>
        <w:rPr>
          <w:rFonts w:ascii="仿宋" w:hAnsi="仿宋" w:eastAsia="仿宋" w:cs="仿宋"/>
          <w:spacing w:val="8"/>
          <w:sz w:val="32"/>
          <w:szCs w:val="32"/>
        </w:rPr>
        <w:t>预计可能发生特别重大、重大、较大、一般突发环境事件。</w:t>
      </w:r>
    </w:p>
    <w:p w14:paraId="41D6A2BB">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640"/>
        <w:textAlignment w:val="baseline"/>
        <w:rPr>
          <w:rFonts w:ascii="仿宋" w:hAnsi="仿宋" w:eastAsia="仿宋" w:cs="仿宋"/>
          <w:sz w:val="31"/>
          <w:szCs w:val="31"/>
        </w:rPr>
      </w:pPr>
      <w:r>
        <w:rPr>
          <w:rFonts w:hint="eastAsia" w:ascii="仿宋" w:hAnsi="仿宋" w:eastAsia="仿宋" w:cs="仿宋"/>
          <w:spacing w:val="9"/>
          <w:sz w:val="32"/>
          <w:szCs w:val="32"/>
          <w14:textOutline w14:w="5792" w14:cap="flat" w14:cmpd="sng">
            <w14:solidFill>
              <w14:srgbClr w14:val="000000"/>
            </w14:solidFill>
            <w14:prstDash w14:val="solid"/>
            <w14:miter w14:val="0"/>
          </w14:textOutline>
        </w:rPr>
        <w:t>（</w:t>
      </w:r>
      <w:r>
        <w:rPr>
          <w:rFonts w:hint="eastAsia" w:ascii="仿宋" w:hAnsi="仿宋" w:eastAsia="仿宋" w:cs="仿宋"/>
          <w:b/>
          <w:bCs/>
          <w:spacing w:val="9"/>
          <w:sz w:val="32"/>
          <w:szCs w:val="32"/>
        </w:rPr>
        <w:t>2</w:t>
      </w:r>
      <w:r>
        <w:rPr>
          <w:rFonts w:hint="eastAsia" w:ascii="仿宋" w:hAnsi="仿宋" w:eastAsia="仿宋" w:cs="仿宋"/>
          <w:spacing w:val="9"/>
          <w:sz w:val="32"/>
          <w:szCs w:val="32"/>
          <w14:textOutline w14:w="5792" w14:cap="flat" w14:cmpd="sng">
            <w14:solidFill>
              <w14:srgbClr w14:val="000000"/>
            </w14:solidFill>
            <w14:prstDash w14:val="solid"/>
            <w14:miter w14:val="0"/>
          </w14:textOutline>
        </w:rPr>
        <w:t>）预警信息发布</w:t>
      </w:r>
    </w:p>
    <w:p w14:paraId="3B3D80E8">
      <w:pPr>
        <w:pStyle w:val="5"/>
        <w:spacing w:before="230" w:line="220" w:lineRule="auto"/>
        <w:ind w:left="672"/>
        <w:rPr>
          <w:rFonts w:hint="eastAsia" w:ascii="仿宋" w:hAnsi="仿宋" w:eastAsia="仿宋" w:cs="仿宋"/>
          <w:sz w:val="32"/>
          <w:szCs w:val="32"/>
        </w:rPr>
      </w:pPr>
      <w:r>
        <w:rPr>
          <w:rFonts w:hint="eastAsia" w:ascii="仿宋" w:hAnsi="仿宋" w:eastAsia="仿宋" w:cs="仿宋"/>
          <w:spacing w:val="2"/>
          <w:sz w:val="32"/>
          <w:szCs w:val="32"/>
        </w:rPr>
        <w:t>1）发布制度</w:t>
      </w:r>
    </w:p>
    <w:p w14:paraId="432C4564">
      <w:pPr>
        <w:keepNext w:val="0"/>
        <w:keepLines w:val="0"/>
        <w:pageBreakBefore w:val="0"/>
        <w:widowControl/>
        <w:kinsoku w:val="0"/>
        <w:wordWrap/>
        <w:overflowPunct/>
        <w:topLinePunct w:val="0"/>
        <w:autoSpaceDE w:val="0"/>
        <w:autoSpaceDN w:val="0"/>
        <w:bidi w:val="0"/>
        <w:adjustRightInd w:val="0"/>
        <w:snapToGrid w:val="0"/>
        <w:spacing w:before="225" w:line="560" w:lineRule="exact"/>
        <w:ind w:firstLine="663"/>
        <w:textAlignment w:val="baseline"/>
        <w:rPr>
          <w:rFonts w:ascii="仿宋" w:hAnsi="仿宋" w:eastAsia="仿宋" w:cs="仿宋"/>
          <w:spacing w:val="4"/>
          <w:sz w:val="32"/>
          <w:szCs w:val="32"/>
        </w:rPr>
      </w:pPr>
      <w:r>
        <w:rPr>
          <w:rFonts w:hint="eastAsia" w:ascii="仿宋" w:hAnsi="仿宋" w:eastAsia="仿宋" w:cs="仿宋"/>
          <w:spacing w:val="3"/>
          <w:sz w:val="32"/>
          <w:szCs w:val="32"/>
        </w:rPr>
        <w:t>突发环境事件预警信息发布遵循“归口管理、统一发布、快速</w:t>
      </w:r>
      <w:r>
        <w:rPr>
          <w:rFonts w:hint="eastAsia" w:ascii="仿宋" w:hAnsi="仿宋" w:eastAsia="仿宋" w:cs="仿宋"/>
          <w:spacing w:val="6"/>
          <w:sz w:val="32"/>
          <w:szCs w:val="32"/>
        </w:rPr>
        <w:t>传播”的原则，按照《广东省突发事件预警信息发布管理办法》执行。突发环境事件预警信息，由生态环境部门负责制作，并按规定程序报批后，按预警级别分级发布。突发环境事件引发的</w:t>
      </w:r>
      <w:r>
        <w:rPr>
          <w:rFonts w:ascii="仿宋" w:hAnsi="仿宋" w:eastAsia="仿宋" w:cs="仿宋"/>
          <w:spacing w:val="6"/>
          <w:sz w:val="32"/>
          <w:szCs w:val="32"/>
        </w:rPr>
        <w:t>次生、衍生灾害预警信息，由有关单位制作，并按规定程序报批后，按预警</w:t>
      </w:r>
      <w:r>
        <w:rPr>
          <w:rFonts w:ascii="仿宋" w:hAnsi="仿宋" w:eastAsia="仿宋" w:cs="仿宋"/>
          <w:spacing w:val="4"/>
          <w:sz w:val="32"/>
          <w:szCs w:val="32"/>
        </w:rPr>
        <w:t>级别分级发布。</w:t>
      </w:r>
    </w:p>
    <w:p w14:paraId="084D4D5D">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4" w:right="37" w:firstLine="644"/>
        <w:textAlignment w:val="baseline"/>
        <w:rPr>
          <w:rFonts w:ascii="仿宋" w:hAnsi="仿宋" w:eastAsia="仿宋" w:cs="仿宋"/>
          <w:sz w:val="31"/>
          <w:szCs w:val="31"/>
        </w:rPr>
      </w:pPr>
      <w:r>
        <w:rPr>
          <w:rFonts w:ascii="仿宋" w:hAnsi="仿宋" w:eastAsia="仿宋" w:cs="仿宋"/>
          <w:spacing w:val="6"/>
          <w:sz w:val="31"/>
          <w:szCs w:val="31"/>
        </w:rPr>
        <w:t>生态环境部门研判可能发生突发环境事</w:t>
      </w:r>
      <w:r>
        <w:rPr>
          <w:rFonts w:ascii="仿宋" w:hAnsi="仿宋" w:eastAsia="仿宋" w:cs="仿宋"/>
          <w:spacing w:val="5"/>
          <w:sz w:val="31"/>
          <w:szCs w:val="31"/>
        </w:rPr>
        <w:t>件时，应当及时向</w:t>
      </w:r>
      <w:r>
        <w:rPr>
          <w:rFonts w:ascii="仿宋" w:hAnsi="仿宋" w:eastAsia="仿宋" w:cs="仿宋"/>
          <w:spacing w:val="6"/>
          <w:sz w:val="31"/>
          <w:szCs w:val="31"/>
        </w:rPr>
        <w:t>本级人民政府提出预警信息发布建议，同时通报同级相关部门和单位。上级生态环境部门要将监测到的可能导致突发环境事件的有关</w:t>
      </w:r>
      <w:r>
        <w:rPr>
          <w:rFonts w:ascii="仿宋" w:hAnsi="仿宋" w:eastAsia="仿宋" w:cs="仿宋"/>
          <w:spacing w:val="9"/>
          <w:sz w:val="31"/>
          <w:szCs w:val="31"/>
        </w:rPr>
        <w:t>信息，及时通报可能受影响地区的生态环境部门。</w:t>
      </w:r>
    </w:p>
    <w:p w14:paraId="6A500857">
      <w:pPr>
        <w:pStyle w:val="5"/>
        <w:keepNext w:val="0"/>
        <w:keepLines w:val="0"/>
        <w:pageBreakBefore w:val="0"/>
        <w:widowControl/>
        <w:kinsoku w:val="0"/>
        <w:wordWrap/>
        <w:overflowPunct/>
        <w:topLinePunct w:val="0"/>
        <w:autoSpaceDE w:val="0"/>
        <w:autoSpaceDN w:val="0"/>
        <w:bidi w:val="0"/>
        <w:adjustRightInd w:val="0"/>
        <w:snapToGrid w:val="0"/>
        <w:spacing w:before="228" w:line="560" w:lineRule="exact"/>
        <w:ind w:left="644"/>
        <w:textAlignment w:val="baseline"/>
        <w:rPr>
          <w:rFonts w:ascii="仿宋" w:hAnsi="仿宋" w:eastAsia="仿宋" w:cs="仿宋"/>
          <w:sz w:val="31"/>
          <w:szCs w:val="31"/>
        </w:rPr>
      </w:pPr>
      <w:r>
        <w:rPr>
          <w:spacing w:val="7"/>
          <w:sz w:val="31"/>
          <w:szCs w:val="31"/>
        </w:rPr>
        <w:t>2</w:t>
      </w:r>
      <w:r>
        <w:rPr>
          <w:rFonts w:ascii="仿宋" w:hAnsi="仿宋" w:eastAsia="仿宋" w:cs="仿宋"/>
          <w:spacing w:val="7"/>
          <w:sz w:val="31"/>
          <w:szCs w:val="31"/>
        </w:rPr>
        <w:t>）发布内容</w:t>
      </w:r>
    </w:p>
    <w:p w14:paraId="19474C95">
      <w:pPr>
        <w:keepNext w:val="0"/>
        <w:keepLines w:val="0"/>
        <w:pageBreakBefore w:val="0"/>
        <w:widowControl/>
        <w:kinsoku w:val="0"/>
        <w:wordWrap/>
        <w:overflowPunct/>
        <w:topLinePunct w:val="0"/>
        <w:autoSpaceDE w:val="0"/>
        <w:autoSpaceDN w:val="0"/>
        <w:bidi w:val="0"/>
        <w:adjustRightInd w:val="0"/>
        <w:snapToGrid w:val="0"/>
        <w:spacing w:before="224" w:line="560" w:lineRule="exact"/>
        <w:ind w:left="22" w:firstLine="643"/>
        <w:textAlignment w:val="baseline"/>
        <w:rPr>
          <w:rFonts w:ascii="仿宋" w:hAnsi="仿宋" w:eastAsia="仿宋" w:cs="仿宋"/>
          <w:spacing w:val="4"/>
          <w:sz w:val="31"/>
          <w:szCs w:val="31"/>
        </w:rPr>
      </w:pPr>
      <w:r>
        <w:rPr>
          <w:rFonts w:ascii="仿宋" w:hAnsi="仿宋" w:eastAsia="仿宋" w:cs="仿宋"/>
          <w:spacing w:val="6"/>
          <w:sz w:val="31"/>
          <w:szCs w:val="31"/>
        </w:rPr>
        <w:t>突发环境事件预警信息内容主要包括：突发环境事件的类别、预警级别、起始时间、可能影响的范围、警示事</w:t>
      </w:r>
      <w:r>
        <w:rPr>
          <w:rFonts w:ascii="仿宋" w:hAnsi="仿宋" w:eastAsia="仿宋" w:cs="仿宋"/>
          <w:spacing w:val="5"/>
          <w:sz w:val="31"/>
          <w:szCs w:val="31"/>
        </w:rPr>
        <w:t>项、事态发展、相</w:t>
      </w:r>
      <w:r>
        <w:rPr>
          <w:rFonts w:ascii="仿宋" w:hAnsi="仿宋" w:eastAsia="仿宋" w:cs="仿宋"/>
          <w:spacing w:val="7"/>
          <w:sz w:val="31"/>
          <w:szCs w:val="31"/>
        </w:rPr>
        <w:t>关措施和发布机关、咨询电话等。</w:t>
      </w:r>
    </w:p>
    <w:p w14:paraId="7FA06FDA">
      <w:pPr>
        <w:pStyle w:val="5"/>
        <w:keepNext w:val="0"/>
        <w:keepLines w:val="0"/>
        <w:pageBreakBefore w:val="0"/>
        <w:widowControl/>
        <w:kinsoku w:val="0"/>
        <w:wordWrap/>
        <w:overflowPunct/>
        <w:topLinePunct w:val="0"/>
        <w:autoSpaceDE w:val="0"/>
        <w:autoSpaceDN w:val="0"/>
        <w:bidi w:val="0"/>
        <w:adjustRightInd w:val="0"/>
        <w:snapToGrid w:val="0"/>
        <w:spacing w:before="230" w:line="560" w:lineRule="exact"/>
        <w:ind w:left="651"/>
        <w:textAlignment w:val="baseline"/>
        <w:rPr>
          <w:rFonts w:ascii="仿宋" w:hAnsi="仿宋" w:eastAsia="仿宋" w:cs="仿宋"/>
          <w:sz w:val="31"/>
          <w:szCs w:val="31"/>
        </w:rPr>
      </w:pPr>
      <w:r>
        <w:rPr>
          <w:spacing w:val="6"/>
          <w:sz w:val="31"/>
          <w:szCs w:val="31"/>
        </w:rPr>
        <w:t>3</w:t>
      </w:r>
      <w:r>
        <w:rPr>
          <w:rFonts w:ascii="仿宋" w:hAnsi="仿宋" w:eastAsia="仿宋" w:cs="仿宋"/>
          <w:spacing w:val="6"/>
          <w:sz w:val="31"/>
          <w:szCs w:val="31"/>
        </w:rPr>
        <w:t>）发布途径</w:t>
      </w:r>
    </w:p>
    <w:p w14:paraId="0EA917AA">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9"/>
        <w:textAlignment w:val="baseline"/>
        <w:rPr>
          <w:rFonts w:ascii="仿宋" w:hAnsi="仿宋" w:eastAsia="仿宋" w:cs="仿宋"/>
          <w:sz w:val="31"/>
          <w:szCs w:val="31"/>
        </w:rPr>
      </w:pPr>
      <w:r>
        <w:rPr>
          <w:rFonts w:ascii="仿宋" w:hAnsi="仿宋" w:eastAsia="仿宋" w:cs="仿宋"/>
          <w:spacing w:val="6"/>
          <w:sz w:val="31"/>
          <w:szCs w:val="31"/>
        </w:rPr>
        <w:t>各级人民政府或其授权的相关部门，根据预</w:t>
      </w:r>
      <w:r>
        <w:rPr>
          <w:rFonts w:ascii="仿宋" w:hAnsi="仿宋" w:eastAsia="仿宋" w:cs="仿宋"/>
          <w:spacing w:val="5"/>
          <w:sz w:val="31"/>
          <w:szCs w:val="31"/>
        </w:rPr>
        <w:t>警信息发布有关规</w:t>
      </w:r>
      <w:r>
        <w:rPr>
          <w:rFonts w:ascii="仿宋" w:hAnsi="仿宋" w:eastAsia="仿宋" w:cs="仿宋"/>
          <w:spacing w:val="6"/>
          <w:sz w:val="31"/>
          <w:szCs w:val="31"/>
        </w:rPr>
        <w:t>定发布预警信息，并充分利用广播、电视、报刊、互联网、手机短信、电子显示屏、宣传车、当面告知等渠道或方式向本行政区域公众发布预警信息。对老、幼、病、残、孕等特殊人群及医院、学校等特殊场所和警报盲区，要采取足以使其知悉的有效方式发布预警</w:t>
      </w:r>
    </w:p>
    <w:p w14:paraId="0CAEE3C9">
      <w:pPr>
        <w:keepNext w:val="0"/>
        <w:keepLines w:val="0"/>
        <w:pageBreakBefore w:val="0"/>
        <w:widowControl/>
        <w:kinsoku w:val="0"/>
        <w:wordWrap/>
        <w:overflowPunct/>
        <w:topLinePunct w:val="0"/>
        <w:autoSpaceDE w:val="0"/>
        <w:autoSpaceDN w:val="0"/>
        <w:bidi w:val="0"/>
        <w:adjustRightInd w:val="0"/>
        <w:snapToGrid w:val="0"/>
        <w:spacing w:before="1" w:line="560" w:lineRule="exact"/>
        <w:textAlignment w:val="baseline"/>
        <w:rPr>
          <w:rFonts w:ascii="仿宋" w:hAnsi="仿宋" w:eastAsia="仿宋" w:cs="仿宋"/>
          <w:sz w:val="31"/>
          <w:szCs w:val="31"/>
        </w:rPr>
      </w:pPr>
      <w:r>
        <w:rPr>
          <w:rFonts w:ascii="仿宋" w:hAnsi="仿宋" w:eastAsia="仿宋" w:cs="仿宋"/>
          <w:spacing w:val="9"/>
          <w:sz w:val="31"/>
          <w:szCs w:val="31"/>
        </w:rPr>
        <w:t>信息。必要时要通报可能影响到的其他相关地区。</w:t>
      </w:r>
    </w:p>
    <w:p w14:paraId="1BC67753">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642"/>
        <w:textAlignment w:val="baseline"/>
        <w:rPr>
          <w:rFonts w:ascii="仿宋" w:hAnsi="仿宋" w:eastAsia="仿宋" w:cs="仿宋"/>
          <w:sz w:val="31"/>
          <w:szCs w:val="31"/>
        </w:rPr>
      </w:pPr>
      <w:r>
        <w:rPr>
          <w:rFonts w:ascii="仿宋" w:hAnsi="仿宋" w:eastAsia="仿宋" w:cs="仿宋"/>
          <w:spacing w:val="9"/>
          <w:sz w:val="31"/>
          <w:szCs w:val="31"/>
          <w14:textOutline w14:w="5792" w14:cap="flat" w14:cmpd="sng">
            <w14:solidFill>
              <w14:srgbClr w14:val="000000"/>
            </w14:solidFill>
            <w14:prstDash w14:val="solid"/>
            <w14:miter w14:val="0"/>
          </w14:textOutline>
        </w:rPr>
        <w:t>（</w:t>
      </w:r>
      <w:r>
        <w:rPr>
          <w:b/>
          <w:bCs/>
          <w:spacing w:val="9"/>
          <w:sz w:val="31"/>
          <w:szCs w:val="31"/>
        </w:rPr>
        <w:t>3</w:t>
      </w:r>
      <w:r>
        <w:rPr>
          <w:rFonts w:ascii="仿宋" w:hAnsi="仿宋" w:eastAsia="仿宋" w:cs="仿宋"/>
          <w:spacing w:val="9"/>
          <w:sz w:val="31"/>
          <w:szCs w:val="31"/>
          <w14:textOutline w14:w="5792" w14:cap="flat" w14:cmpd="sng">
            <w14:solidFill>
              <w14:srgbClr w14:val="000000"/>
            </w14:solidFill>
            <w14:prstDash w14:val="solid"/>
            <w14:miter w14:val="0"/>
          </w14:textOutline>
        </w:rPr>
        <w:t>）预警行动</w:t>
      </w:r>
    </w:p>
    <w:p w14:paraId="3919EA94">
      <w:pPr>
        <w:keepNext w:val="0"/>
        <w:keepLines w:val="0"/>
        <w:pageBreakBefore w:val="0"/>
        <w:widowControl/>
        <w:kinsoku w:val="0"/>
        <w:wordWrap/>
        <w:overflowPunct/>
        <w:topLinePunct w:val="0"/>
        <w:autoSpaceDE w:val="0"/>
        <w:autoSpaceDN w:val="0"/>
        <w:bidi w:val="0"/>
        <w:adjustRightInd w:val="0"/>
        <w:snapToGrid w:val="0"/>
        <w:spacing w:before="225" w:line="560" w:lineRule="exact"/>
        <w:ind w:right="37"/>
        <w:jc w:val="right"/>
        <w:textAlignment w:val="baseline"/>
        <w:rPr>
          <w:rFonts w:ascii="仿宋" w:hAnsi="仿宋" w:eastAsia="仿宋" w:cs="仿宋"/>
          <w:sz w:val="31"/>
          <w:szCs w:val="31"/>
        </w:rPr>
      </w:pPr>
      <w:r>
        <w:rPr>
          <w:rFonts w:ascii="仿宋" w:hAnsi="仿宋" w:eastAsia="仿宋" w:cs="仿宋"/>
          <w:spacing w:val="14"/>
          <w:position w:val="21"/>
          <w:sz w:val="31"/>
          <w:szCs w:val="31"/>
        </w:rPr>
        <w:t>预警信息发布后，当地人民政府及有关部门视情采取以下措</w:t>
      </w:r>
    </w:p>
    <w:p w14:paraId="4252A072">
      <w:pPr>
        <w:keepNext w:val="0"/>
        <w:keepLines w:val="0"/>
        <w:pageBreakBefore w:val="0"/>
        <w:widowControl/>
        <w:kinsoku w:val="0"/>
        <w:wordWrap/>
        <w:overflowPunct/>
        <w:topLinePunct w:val="0"/>
        <w:autoSpaceDE w:val="0"/>
        <w:autoSpaceDN w:val="0"/>
        <w:bidi w:val="0"/>
        <w:adjustRightInd w:val="0"/>
        <w:snapToGrid w:val="0"/>
        <w:spacing w:before="1" w:line="560" w:lineRule="exact"/>
        <w:ind w:left="11"/>
        <w:textAlignment w:val="baseline"/>
        <w:rPr>
          <w:rFonts w:ascii="仿宋" w:hAnsi="仿宋" w:eastAsia="仿宋" w:cs="仿宋"/>
          <w:sz w:val="31"/>
          <w:szCs w:val="31"/>
        </w:rPr>
      </w:pPr>
      <w:r>
        <w:rPr>
          <w:rFonts w:ascii="仿宋" w:hAnsi="仿宋" w:eastAsia="仿宋" w:cs="仿宋"/>
          <w:spacing w:val="-3"/>
          <w:sz w:val="31"/>
          <w:szCs w:val="31"/>
        </w:rPr>
        <w:t>施：</w:t>
      </w:r>
    </w:p>
    <w:p w14:paraId="49710DD7">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9"/>
        <w:textAlignment w:val="baseline"/>
        <w:rPr>
          <w:rFonts w:ascii="仿宋" w:hAnsi="仿宋" w:eastAsia="仿宋" w:cs="仿宋"/>
          <w:spacing w:val="6"/>
          <w:sz w:val="31"/>
          <w:szCs w:val="31"/>
        </w:rPr>
      </w:pPr>
      <w:r>
        <w:rPr>
          <w:rFonts w:ascii="仿宋" w:hAnsi="仿宋" w:eastAsia="仿宋" w:cs="仿宋"/>
          <w:spacing w:val="6"/>
          <w:sz w:val="31"/>
          <w:szCs w:val="31"/>
        </w:rPr>
        <w:t>1）分析研判。组织有关部门和机构、专业技术人员及专家，</w:t>
      </w:r>
    </w:p>
    <w:p w14:paraId="61F2FFC4">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9"/>
        <w:textAlignment w:val="baseline"/>
        <w:rPr>
          <w:rFonts w:ascii="仿宋" w:hAnsi="仿宋" w:eastAsia="仿宋" w:cs="仿宋"/>
          <w:spacing w:val="6"/>
          <w:sz w:val="31"/>
          <w:szCs w:val="31"/>
        </w:rPr>
      </w:pPr>
      <w:r>
        <w:rPr>
          <w:rFonts w:ascii="仿宋" w:hAnsi="仿宋" w:eastAsia="仿宋" w:cs="仿宋"/>
          <w:spacing w:val="6"/>
          <w:sz w:val="31"/>
          <w:szCs w:val="31"/>
        </w:rPr>
        <w:t>及时对预警信息进行分析研判，预估可能的影响范围和危害程度。</w:t>
      </w:r>
    </w:p>
    <w:p w14:paraId="7A49C252">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9"/>
        <w:textAlignment w:val="baseline"/>
        <w:rPr>
          <w:rFonts w:ascii="仿宋" w:hAnsi="仿宋" w:eastAsia="仿宋" w:cs="仿宋"/>
          <w:spacing w:val="6"/>
          <w:sz w:val="31"/>
          <w:szCs w:val="31"/>
        </w:rPr>
      </w:pPr>
      <w:r>
        <w:rPr>
          <w:rFonts w:ascii="仿宋" w:hAnsi="仿宋" w:eastAsia="仿宋" w:cs="仿宋"/>
          <w:spacing w:val="6"/>
          <w:sz w:val="31"/>
          <w:szCs w:val="31"/>
        </w:rPr>
        <w:t>2）防范处置。迅速采取有效处置措施，控制事件苗头。在涉险区域设置注意事项提示或事件危害警告标志，利用各种渠道增加宣传频次，告知公众避险和减轻危害的常识、需采取的必要的健康防护措施。可能威胁饮用水安全时，要及时启动饮用水水源地应急预案，做好启用备用水源的准备工作。</w:t>
      </w:r>
    </w:p>
    <w:p w14:paraId="3F217173">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9"/>
        <w:textAlignment w:val="baseline"/>
        <w:rPr>
          <w:rFonts w:ascii="仿宋" w:hAnsi="仿宋" w:eastAsia="仿宋" w:cs="仿宋"/>
          <w:spacing w:val="6"/>
          <w:sz w:val="31"/>
          <w:szCs w:val="31"/>
        </w:rPr>
      </w:pPr>
      <w:r>
        <w:rPr>
          <w:rFonts w:ascii="仿宋" w:hAnsi="仿宋" w:eastAsia="仿宋" w:cs="仿宋"/>
          <w:spacing w:val="6"/>
          <w:sz w:val="31"/>
          <w:szCs w:val="31"/>
        </w:rPr>
        <w:t>3）应急准备。提前疏散、转移可能受到危害的人员，并进行妥善安置。部署应急救援队伍、负有特定职责的人员进入待命状态，动员后备人员做好参加应急救援和处置工作准备，并调集所需应急物资和设备，做好应急保障工作。对可能导致突发环境事件发生的相关企事业单位和其他生产经营者加强环境监管。</w:t>
      </w:r>
    </w:p>
    <w:p w14:paraId="0AB11DAA">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35" w:firstLine="644" w:firstLineChars="200"/>
        <w:textAlignment w:val="baseline"/>
        <w:rPr>
          <w:rFonts w:ascii="仿宋" w:hAnsi="仿宋" w:eastAsia="仿宋" w:cs="仿宋"/>
          <w:spacing w:val="6"/>
          <w:sz w:val="31"/>
          <w:szCs w:val="31"/>
        </w:rPr>
      </w:pPr>
      <w:r>
        <w:rPr>
          <w:rFonts w:ascii="仿宋" w:hAnsi="仿宋" w:eastAsia="仿宋" w:cs="仿宋"/>
          <w:spacing w:val="6"/>
          <w:sz w:val="31"/>
          <w:szCs w:val="31"/>
        </w:rPr>
        <w:t>4）舆论引导。及时准确发布事态最新情况，公布咨询电话，组织专家解读。加强相关舆情监测，做好舆论引导工作。</w:t>
      </w:r>
    </w:p>
    <w:p w14:paraId="29C16C2F">
      <w:pPr>
        <w:pStyle w:val="5"/>
        <w:keepNext w:val="0"/>
        <w:keepLines w:val="0"/>
        <w:pageBreakBefore w:val="0"/>
        <w:widowControl/>
        <w:kinsoku w:val="0"/>
        <w:wordWrap/>
        <w:overflowPunct/>
        <w:topLinePunct w:val="0"/>
        <w:autoSpaceDE w:val="0"/>
        <w:autoSpaceDN w:val="0"/>
        <w:bidi w:val="0"/>
        <w:adjustRightInd w:val="0"/>
        <w:snapToGrid w:val="0"/>
        <w:spacing w:before="226" w:line="560" w:lineRule="exact"/>
        <w:ind w:left="636"/>
        <w:textAlignment w:val="baseline"/>
        <w:rPr>
          <w:rFonts w:ascii="仿宋" w:hAnsi="仿宋" w:eastAsia="仿宋" w:cs="仿宋"/>
          <w:sz w:val="31"/>
          <w:szCs w:val="31"/>
        </w:rPr>
      </w:pPr>
      <w:r>
        <w:rPr>
          <w:rFonts w:ascii="仿宋" w:hAnsi="仿宋" w:eastAsia="仿宋" w:cs="仿宋"/>
          <w:spacing w:val="10"/>
          <w:sz w:val="31"/>
          <w:szCs w:val="31"/>
          <w14:textOutline w14:w="5792" w14:cap="flat" w14:cmpd="sng">
            <w14:solidFill>
              <w14:srgbClr w14:val="000000"/>
            </w14:solidFill>
            <w14:prstDash w14:val="solid"/>
            <w14:miter w14:val="0"/>
          </w14:textOutline>
        </w:rPr>
        <w:t>（</w:t>
      </w:r>
      <w:r>
        <w:rPr>
          <w:b/>
          <w:bCs/>
          <w:spacing w:val="10"/>
          <w:sz w:val="31"/>
          <w:szCs w:val="31"/>
        </w:rPr>
        <w:t>4</w:t>
      </w:r>
      <w:r>
        <w:rPr>
          <w:rFonts w:ascii="仿宋" w:hAnsi="仿宋" w:eastAsia="仿宋" w:cs="仿宋"/>
          <w:spacing w:val="10"/>
          <w:sz w:val="31"/>
          <w:szCs w:val="31"/>
          <w14:textOutline w14:w="5792" w14:cap="flat" w14:cmpd="sng">
            <w14:solidFill>
              <w14:srgbClr w14:val="000000"/>
            </w14:solidFill>
            <w14:prstDash w14:val="solid"/>
            <w14:miter w14:val="0"/>
          </w14:textOutline>
        </w:rPr>
        <w:t>）预警级别调整和解除</w:t>
      </w:r>
    </w:p>
    <w:p w14:paraId="372D67B4">
      <w:pPr>
        <w:keepNext w:val="0"/>
        <w:keepLines w:val="0"/>
        <w:pageBreakBefore w:val="0"/>
        <w:widowControl/>
        <w:kinsoku w:val="0"/>
        <w:wordWrap/>
        <w:overflowPunct/>
        <w:topLinePunct w:val="0"/>
        <w:autoSpaceDE w:val="0"/>
        <w:autoSpaceDN w:val="0"/>
        <w:bidi w:val="0"/>
        <w:adjustRightInd w:val="0"/>
        <w:snapToGrid w:val="0"/>
        <w:spacing w:before="223" w:line="560" w:lineRule="exact"/>
        <w:ind w:right="83" w:firstLine="644"/>
        <w:jc w:val="both"/>
        <w:textAlignment w:val="baseline"/>
        <w:rPr>
          <w:rFonts w:ascii="仿宋" w:hAnsi="仿宋" w:eastAsia="仿宋" w:cs="仿宋"/>
          <w:sz w:val="31"/>
          <w:szCs w:val="31"/>
        </w:rPr>
      </w:pPr>
      <w:r>
        <w:rPr>
          <w:rFonts w:ascii="仿宋" w:hAnsi="仿宋" w:eastAsia="仿宋" w:cs="仿宋"/>
          <w:spacing w:val="18"/>
          <w:sz w:val="31"/>
          <w:szCs w:val="31"/>
        </w:rPr>
        <w:t>发布突发环境事件预警信息的各级人民政府或有关部</w:t>
      </w:r>
      <w:r>
        <w:rPr>
          <w:rFonts w:ascii="仿宋" w:hAnsi="仿宋" w:eastAsia="仿宋" w:cs="仿宋"/>
          <w:spacing w:val="17"/>
          <w:sz w:val="31"/>
          <w:szCs w:val="31"/>
        </w:rPr>
        <w:t>门应当</w:t>
      </w:r>
      <w:r>
        <w:rPr>
          <w:rFonts w:ascii="仿宋" w:hAnsi="仿宋" w:eastAsia="仿宋" w:cs="仿宋"/>
          <w:spacing w:val="6"/>
          <w:sz w:val="31"/>
          <w:szCs w:val="31"/>
        </w:rPr>
        <w:t>根据事态发展情况和采取措施的效果适时调整预警级别。当判断不</w:t>
      </w:r>
      <w:r>
        <w:rPr>
          <w:rFonts w:ascii="仿宋" w:hAnsi="仿宋" w:eastAsia="仿宋" w:cs="仿宋"/>
          <w:spacing w:val="17"/>
          <w:sz w:val="31"/>
          <w:szCs w:val="31"/>
        </w:rPr>
        <w:t>可能发生突发环境事件或者危险已经消除时,宣布解除预警</w:t>
      </w:r>
      <w:r>
        <w:rPr>
          <w:rFonts w:ascii="仿宋" w:hAnsi="仿宋" w:eastAsia="仿宋" w:cs="仿宋"/>
          <w:spacing w:val="16"/>
          <w:sz w:val="31"/>
          <w:szCs w:val="31"/>
        </w:rPr>
        <w:t>,适时</w:t>
      </w:r>
    </w:p>
    <w:p w14:paraId="5EADF5BB">
      <w:pPr>
        <w:keepNext w:val="0"/>
        <w:keepLines w:val="0"/>
        <w:pageBreakBefore w:val="0"/>
        <w:widowControl/>
        <w:kinsoku w:val="0"/>
        <w:wordWrap/>
        <w:overflowPunct/>
        <w:topLinePunct w:val="0"/>
        <w:autoSpaceDE w:val="0"/>
        <w:autoSpaceDN w:val="0"/>
        <w:bidi w:val="0"/>
        <w:adjustRightInd w:val="0"/>
        <w:snapToGrid w:val="0"/>
        <w:spacing w:before="1" w:line="560" w:lineRule="exact"/>
        <w:ind w:left="5"/>
        <w:textAlignment w:val="baseline"/>
        <w:rPr>
          <w:rFonts w:ascii="仿宋" w:hAnsi="仿宋" w:eastAsia="仿宋" w:cs="仿宋"/>
          <w:sz w:val="31"/>
          <w:szCs w:val="31"/>
        </w:rPr>
      </w:pPr>
      <w:r>
        <w:rPr>
          <w:rFonts w:ascii="仿宋" w:hAnsi="仿宋" w:eastAsia="仿宋" w:cs="仿宋"/>
          <w:spacing w:val="6"/>
          <w:sz w:val="31"/>
          <w:szCs w:val="31"/>
        </w:rPr>
        <w:t>终止相关措施。</w:t>
      </w:r>
    </w:p>
    <w:p w14:paraId="0CB9646D">
      <w:pPr>
        <w:pStyle w:val="3"/>
        <w:bidi w:val="0"/>
      </w:pPr>
      <w:bookmarkStart w:id="19" w:name="_Toc11980"/>
      <w:r>
        <w:t>（三）应急处置与救援</w:t>
      </w:r>
      <w:bookmarkEnd w:id="19"/>
    </w:p>
    <w:p w14:paraId="78CF72EE">
      <w:pPr>
        <w:pStyle w:val="4"/>
        <w:bidi w:val="0"/>
        <w:rPr>
          <w:rFonts w:ascii="Arial"/>
        </w:rPr>
      </w:pPr>
      <w:bookmarkStart w:id="20" w:name="_Toc28716"/>
      <w:r>
        <w:rPr>
          <w:rFonts w:hint="eastAsia"/>
        </w:rPr>
        <w:t>1.信息报告</w:t>
      </w:r>
      <w:bookmarkEnd w:id="20"/>
    </w:p>
    <w:p w14:paraId="63F03EF2">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10" w:right="118" w:firstLine="649"/>
        <w:jc w:val="both"/>
        <w:textAlignment w:val="baseline"/>
        <w:rPr>
          <w:rFonts w:ascii="仿宋" w:hAnsi="仿宋" w:eastAsia="仿宋" w:cs="仿宋"/>
          <w:sz w:val="32"/>
          <w:szCs w:val="32"/>
        </w:rPr>
      </w:pPr>
      <w:r>
        <w:rPr>
          <w:rFonts w:ascii="仿宋" w:hAnsi="仿宋" w:eastAsia="仿宋" w:cs="仿宋"/>
          <w:spacing w:val="5"/>
          <w:sz w:val="32"/>
          <w:szCs w:val="32"/>
        </w:rPr>
        <w:t>突发环境事件发生后，涉事单位或其他生产经营者必须采取应</w:t>
      </w:r>
      <w:r>
        <w:rPr>
          <w:rFonts w:ascii="仿宋" w:hAnsi="仿宋" w:eastAsia="仿宋" w:cs="仿宋"/>
          <w:spacing w:val="6"/>
          <w:sz w:val="32"/>
          <w:szCs w:val="32"/>
        </w:rPr>
        <w:t>对措施，并立即向当地生态环境部门和相关部门报</w:t>
      </w:r>
      <w:r>
        <w:rPr>
          <w:rFonts w:ascii="仿宋" w:hAnsi="仿宋" w:eastAsia="仿宋" w:cs="仿宋"/>
          <w:spacing w:val="5"/>
          <w:sz w:val="32"/>
          <w:szCs w:val="32"/>
        </w:rPr>
        <w:t>告，同时通报可</w:t>
      </w:r>
      <w:r>
        <w:rPr>
          <w:rFonts w:ascii="仿宋" w:hAnsi="仿宋" w:eastAsia="仿宋" w:cs="仿宋"/>
          <w:spacing w:val="6"/>
          <w:sz w:val="32"/>
          <w:szCs w:val="32"/>
        </w:rPr>
        <w:t>能受到污染危害的单位和居民。因生产安全事故、</w:t>
      </w:r>
      <w:r>
        <w:rPr>
          <w:rFonts w:ascii="仿宋" w:hAnsi="仿宋" w:eastAsia="仿宋" w:cs="仿宋"/>
          <w:spacing w:val="5"/>
          <w:sz w:val="32"/>
          <w:szCs w:val="32"/>
        </w:rPr>
        <w:t>危险货物运输事</w:t>
      </w:r>
      <w:r>
        <w:rPr>
          <w:rFonts w:ascii="仿宋" w:hAnsi="仿宋" w:eastAsia="仿宋" w:cs="仿宋"/>
          <w:spacing w:val="7"/>
          <w:sz w:val="32"/>
          <w:szCs w:val="32"/>
        </w:rPr>
        <w:t>故导致突发环境事件的，公安、交通运输、应急管理、消防救援、</w:t>
      </w:r>
      <w:r>
        <w:rPr>
          <w:rFonts w:ascii="仿宋" w:hAnsi="仿宋" w:eastAsia="仿宋" w:cs="仿宋"/>
          <w:spacing w:val="17"/>
          <w:sz w:val="32"/>
          <w:szCs w:val="32"/>
        </w:rPr>
        <w:t>海事等部门或者其他负有安全监管职责的部门接报后要及时通报</w:t>
      </w:r>
      <w:r>
        <w:rPr>
          <w:rFonts w:ascii="仿宋" w:hAnsi="仿宋" w:eastAsia="仿宋" w:cs="仿宋"/>
          <w:spacing w:val="6"/>
          <w:sz w:val="32"/>
          <w:szCs w:val="32"/>
        </w:rPr>
        <w:t>同级生态环境部门。其他单位在大气、水体、土壤监测</w:t>
      </w:r>
      <w:r>
        <w:rPr>
          <w:rFonts w:ascii="仿宋" w:hAnsi="仿宋" w:eastAsia="仿宋" w:cs="仿宋"/>
          <w:spacing w:val="5"/>
          <w:sz w:val="32"/>
          <w:szCs w:val="32"/>
        </w:rPr>
        <w:t>过程中获得</w:t>
      </w:r>
      <w:r>
        <w:rPr>
          <w:rFonts w:ascii="仿宋" w:hAnsi="仿宋" w:eastAsia="仿宋" w:cs="仿宋"/>
          <w:spacing w:val="9"/>
          <w:sz w:val="32"/>
          <w:szCs w:val="32"/>
        </w:rPr>
        <w:t>环境污染事件信息的，要及时向同级生态环境部门通报。</w:t>
      </w:r>
    </w:p>
    <w:p w14:paraId="5AB69831">
      <w:pPr>
        <w:keepNext w:val="0"/>
        <w:keepLines w:val="0"/>
        <w:pageBreakBefore w:val="0"/>
        <w:widowControl/>
        <w:kinsoku w:val="0"/>
        <w:wordWrap/>
        <w:overflowPunct/>
        <w:topLinePunct w:val="0"/>
        <w:autoSpaceDE w:val="0"/>
        <w:autoSpaceDN w:val="0"/>
        <w:bidi w:val="0"/>
        <w:adjustRightInd w:val="0"/>
        <w:snapToGrid w:val="0"/>
        <w:spacing w:before="231" w:line="560" w:lineRule="exact"/>
        <w:ind w:right="156" w:firstLine="654"/>
        <w:jc w:val="both"/>
        <w:textAlignment w:val="baseline"/>
        <w:rPr>
          <w:rFonts w:ascii="仿宋" w:hAnsi="仿宋" w:eastAsia="仿宋" w:cs="仿宋"/>
          <w:spacing w:val="1"/>
          <w:sz w:val="32"/>
          <w:szCs w:val="32"/>
        </w:rPr>
      </w:pPr>
      <w:r>
        <w:rPr>
          <w:rFonts w:ascii="仿宋" w:hAnsi="仿宋" w:eastAsia="仿宋" w:cs="仿宋"/>
          <w:spacing w:val="17"/>
          <w:sz w:val="32"/>
          <w:szCs w:val="32"/>
        </w:rPr>
        <w:t>事发地生态环境部门接到突发环境事件信息报告或监测到相关信息后,应当立即进行核实,初步认定突发环境事</w:t>
      </w:r>
      <w:r>
        <w:rPr>
          <w:rFonts w:ascii="仿宋" w:hAnsi="仿宋" w:eastAsia="仿宋" w:cs="仿宋"/>
          <w:spacing w:val="16"/>
          <w:sz w:val="32"/>
          <w:szCs w:val="32"/>
        </w:rPr>
        <w:t>件的性质和类</w:t>
      </w:r>
      <w:r>
        <w:rPr>
          <w:rFonts w:ascii="仿宋" w:hAnsi="仿宋" w:eastAsia="仿宋" w:cs="仿宋"/>
          <w:spacing w:val="11"/>
          <w:sz w:val="32"/>
          <w:szCs w:val="32"/>
        </w:rPr>
        <w:t>别,按照国家和省、市规定的时限、程序和要求向上级生态环境部</w:t>
      </w:r>
      <w:r>
        <w:rPr>
          <w:rFonts w:ascii="仿宋" w:hAnsi="仿宋" w:eastAsia="仿宋" w:cs="仿宋"/>
          <w:spacing w:val="6"/>
          <w:sz w:val="32"/>
          <w:szCs w:val="32"/>
        </w:rPr>
        <w:t>门和同级人民政府报告，并通报同级其他相关部门。突发环境事件已经或者可能涉及相邻行政区域的，事发地人民政府或生态环境部门应当及时通报相邻行政区域同级人民政府或生态环境部门。各级</w:t>
      </w:r>
      <w:r>
        <w:rPr>
          <w:rFonts w:ascii="仿宋" w:hAnsi="仿宋" w:eastAsia="仿宋" w:cs="仿宋"/>
          <w:spacing w:val="17"/>
          <w:sz w:val="32"/>
          <w:szCs w:val="32"/>
        </w:rPr>
        <w:t>人民政府及生态环境部门应当按照有关规定逐级上报突发环境事</w:t>
      </w:r>
      <w:r>
        <w:rPr>
          <w:rFonts w:ascii="仿宋" w:hAnsi="仿宋" w:eastAsia="仿宋" w:cs="仿宋"/>
          <w:spacing w:val="6"/>
          <w:sz w:val="32"/>
          <w:szCs w:val="32"/>
        </w:rPr>
        <w:t>件，必要时可越级上报，并同时报告上一级人民政府及其生态环境</w:t>
      </w:r>
      <w:r>
        <w:rPr>
          <w:rFonts w:ascii="仿宋" w:hAnsi="仿宋" w:eastAsia="仿宋" w:cs="仿宋"/>
          <w:spacing w:val="1"/>
          <w:sz w:val="32"/>
          <w:szCs w:val="32"/>
        </w:rPr>
        <w:t>部门。</w:t>
      </w:r>
    </w:p>
    <w:p w14:paraId="39E5777B">
      <w:pPr>
        <w:keepNext w:val="0"/>
        <w:keepLines w:val="0"/>
        <w:pageBreakBefore w:val="0"/>
        <w:widowControl/>
        <w:kinsoku w:val="0"/>
        <w:wordWrap/>
        <w:overflowPunct/>
        <w:topLinePunct w:val="0"/>
        <w:autoSpaceDE w:val="0"/>
        <w:autoSpaceDN w:val="0"/>
        <w:bidi w:val="0"/>
        <w:adjustRightInd w:val="0"/>
        <w:snapToGrid w:val="0"/>
        <w:spacing w:before="231" w:line="560" w:lineRule="exact"/>
        <w:ind w:right="156" w:firstLine="654"/>
        <w:jc w:val="both"/>
        <w:textAlignment w:val="baseline"/>
        <w:rPr>
          <w:rFonts w:ascii="仿宋" w:hAnsi="仿宋" w:eastAsia="仿宋" w:cs="仿宋"/>
          <w:sz w:val="32"/>
          <w:szCs w:val="32"/>
        </w:rPr>
      </w:pPr>
      <w:r>
        <w:rPr>
          <w:rFonts w:ascii="仿宋" w:hAnsi="仿宋" w:eastAsia="仿宋" w:cs="仿宋"/>
          <w:spacing w:val="-1"/>
          <w:sz w:val="32"/>
          <w:szCs w:val="32"/>
        </w:rPr>
        <w:t>各区（县）</w:t>
      </w:r>
      <w:r>
        <w:rPr>
          <w:rFonts w:ascii="仿宋" w:hAnsi="仿宋" w:eastAsia="仿宋" w:cs="仿宋"/>
          <w:spacing w:val="9"/>
          <w:sz w:val="32"/>
          <w:szCs w:val="32"/>
        </w:rPr>
        <w:t>人民政府、市生态环境部门要全面掌握突发环境事件信</w:t>
      </w:r>
      <w:r>
        <w:rPr>
          <w:rFonts w:ascii="仿宋" w:hAnsi="仿宋" w:eastAsia="仿宋" w:cs="仿宋"/>
          <w:spacing w:val="8"/>
          <w:sz w:val="32"/>
          <w:szCs w:val="32"/>
        </w:rPr>
        <w:t>息,了解突</w:t>
      </w:r>
      <w:r>
        <w:rPr>
          <w:rFonts w:ascii="仿宋" w:hAnsi="仿宋" w:eastAsia="仿宋" w:cs="仿宋"/>
          <w:spacing w:val="9"/>
          <w:sz w:val="32"/>
          <w:szCs w:val="32"/>
        </w:rPr>
        <w:t>发环境事件信息；一般以上突发环境事件要及时报送市人民政府。</w:t>
      </w:r>
    </w:p>
    <w:p w14:paraId="25ADFAD7">
      <w:pPr>
        <w:pStyle w:val="4"/>
        <w:bidi w:val="0"/>
        <w:rPr>
          <w:rFonts w:ascii="Arial"/>
        </w:rPr>
      </w:pPr>
      <w:bookmarkStart w:id="21" w:name="_Toc901"/>
      <w:r>
        <w:rPr>
          <w:rFonts w:hint="eastAsia"/>
        </w:rPr>
        <w:t>2.响应启动</w:t>
      </w:r>
      <w:bookmarkEnd w:id="21"/>
    </w:p>
    <w:p w14:paraId="225932C5">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83" w:firstLine="648"/>
        <w:jc w:val="both"/>
        <w:textAlignment w:val="baseline"/>
        <w:rPr>
          <w:rFonts w:ascii="仿宋" w:hAnsi="仿宋" w:eastAsia="仿宋" w:cs="仿宋"/>
          <w:sz w:val="32"/>
          <w:szCs w:val="32"/>
        </w:rPr>
      </w:pPr>
      <w:r>
        <w:rPr>
          <w:rFonts w:ascii="仿宋" w:hAnsi="仿宋" w:eastAsia="仿宋" w:cs="仿宋"/>
          <w:spacing w:val="6"/>
          <w:sz w:val="32"/>
          <w:szCs w:val="32"/>
        </w:rPr>
        <w:t>按照突发环境事件的危害程度、范围及其引</w:t>
      </w:r>
      <w:r>
        <w:rPr>
          <w:rFonts w:ascii="仿宋" w:hAnsi="仿宋" w:eastAsia="仿宋" w:cs="仿宋"/>
          <w:spacing w:val="5"/>
          <w:sz w:val="32"/>
          <w:szCs w:val="32"/>
        </w:rPr>
        <w:t>发的次生、衍生灾</w:t>
      </w:r>
      <w:r>
        <w:rPr>
          <w:rFonts w:ascii="仿宋" w:hAnsi="仿宋" w:eastAsia="仿宋" w:cs="仿宋"/>
          <w:spacing w:val="6"/>
          <w:sz w:val="32"/>
          <w:szCs w:val="32"/>
        </w:rPr>
        <w:t>害类别，各级人民政府、相关部门和单位要按照其职责及相关应急预案启动应急响应。根据突发环境事件及其引发的次生、衍生灾害</w:t>
      </w:r>
      <w:r>
        <w:rPr>
          <w:rFonts w:ascii="仿宋" w:hAnsi="仿宋" w:eastAsia="仿宋" w:cs="仿宋"/>
          <w:spacing w:val="11"/>
          <w:sz w:val="32"/>
          <w:szCs w:val="32"/>
        </w:rPr>
        <w:t>严重程度、影响范围和发展态势等,突发环境事件</w:t>
      </w:r>
      <w:r>
        <w:rPr>
          <w:rFonts w:hint="eastAsia" w:ascii="仿宋" w:hAnsi="仿宋" w:eastAsia="仿宋" w:cs="仿宋"/>
          <w:spacing w:val="11"/>
          <w:sz w:val="32"/>
          <w:szCs w:val="32"/>
          <w:lang w:eastAsia="zh-CN"/>
        </w:rPr>
        <w:t>区</w:t>
      </w:r>
      <w:r>
        <w:rPr>
          <w:rFonts w:ascii="仿宋" w:hAnsi="仿宋" w:eastAsia="仿宋" w:cs="仿宋"/>
          <w:spacing w:val="11"/>
          <w:sz w:val="32"/>
          <w:szCs w:val="32"/>
        </w:rPr>
        <w:t>级层面应急响</w:t>
      </w:r>
      <w:r>
        <w:rPr>
          <w:rFonts w:ascii="仿宋" w:hAnsi="仿宋" w:eastAsia="仿宋" w:cs="仿宋"/>
          <w:spacing w:val="6"/>
          <w:sz w:val="32"/>
          <w:szCs w:val="32"/>
        </w:rPr>
        <w:t>应级别从高到低分为一级、二级、三级、四级四个等级。</w:t>
      </w:r>
    </w:p>
    <w:p w14:paraId="6FDE3C94">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659"/>
        <w:textAlignment w:val="baseline"/>
        <w:rPr>
          <w:rFonts w:hint="eastAsia" w:ascii="仿宋" w:hAnsi="仿宋" w:eastAsia="仿宋" w:cs="仿宋"/>
          <w:sz w:val="32"/>
          <w:szCs w:val="32"/>
        </w:rPr>
      </w:pPr>
      <w:r>
        <w:rPr>
          <w:rFonts w:hint="eastAsia" w:ascii="仿宋" w:hAnsi="仿宋" w:eastAsia="仿宋" w:cs="仿宋"/>
          <w:spacing w:val="7"/>
          <w:sz w:val="32"/>
          <w:szCs w:val="32"/>
          <w14:textOutline w14:w="5792" w14:cap="flat" w14:cmpd="sng">
            <w14:solidFill>
              <w14:srgbClr w14:val="000000"/>
            </w14:solidFill>
            <w14:prstDash w14:val="solid"/>
            <w14:miter w14:val="0"/>
          </w14:textOutline>
        </w:rPr>
        <w:t>（</w:t>
      </w:r>
      <w:r>
        <w:rPr>
          <w:rFonts w:hint="eastAsia" w:ascii="仿宋" w:hAnsi="仿宋" w:eastAsia="仿宋" w:cs="仿宋"/>
          <w:b/>
          <w:bCs/>
          <w:spacing w:val="7"/>
          <w:sz w:val="32"/>
          <w:szCs w:val="32"/>
        </w:rPr>
        <w:t>1</w:t>
      </w:r>
      <w:r>
        <w:rPr>
          <w:rFonts w:hint="eastAsia" w:ascii="仿宋" w:hAnsi="仿宋" w:eastAsia="仿宋" w:cs="仿宋"/>
          <w:spacing w:val="7"/>
          <w:sz w:val="32"/>
          <w:szCs w:val="32"/>
          <w14:textOutline w14:w="5792" w14:cap="flat" w14:cmpd="sng">
            <w14:solidFill>
              <w14:srgbClr w14:val="000000"/>
            </w14:solidFill>
            <w14:prstDash w14:val="solid"/>
            <w14:miter w14:val="0"/>
          </w14:textOutline>
        </w:rPr>
        <w:t>）一、二级响应</w:t>
      </w:r>
    </w:p>
    <w:p w14:paraId="641512DA">
      <w:pPr>
        <w:pStyle w:val="5"/>
        <w:keepNext w:val="0"/>
        <w:keepLines w:val="0"/>
        <w:pageBreakBefore w:val="0"/>
        <w:widowControl/>
        <w:kinsoku w:val="0"/>
        <w:wordWrap/>
        <w:overflowPunct/>
        <w:topLinePunct w:val="0"/>
        <w:autoSpaceDE w:val="0"/>
        <w:autoSpaceDN w:val="0"/>
        <w:bidi w:val="0"/>
        <w:adjustRightInd w:val="0"/>
        <w:snapToGrid w:val="0"/>
        <w:spacing w:before="227"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初判发生特别重大、重大突发环境事件，区</w:t>
      </w:r>
      <w:r>
        <w:rPr>
          <w:rFonts w:hint="eastAsia" w:ascii="仿宋" w:hAnsi="仿宋" w:eastAsia="仿宋" w:cs="仿宋"/>
          <w:sz w:val="32"/>
          <w:szCs w:val="32"/>
          <w:lang w:eastAsia="zh-CN"/>
        </w:rPr>
        <w:t>应急</w:t>
      </w:r>
      <w:r>
        <w:rPr>
          <w:rFonts w:hint="eastAsia" w:ascii="仿宋" w:hAnsi="仿宋" w:eastAsia="仿宋" w:cs="仿宋"/>
          <w:sz w:val="32"/>
          <w:szCs w:val="32"/>
        </w:rPr>
        <w:t>指挥部立即开展先期处置，同时向市人民政府提出发布相应预警信息的申请。</w:t>
      </w:r>
      <w:r>
        <w:rPr>
          <w:rFonts w:hint="eastAsia" w:ascii="仿宋" w:hAnsi="仿宋" w:eastAsia="仿宋" w:cs="仿宋"/>
          <w:sz w:val="32"/>
          <w:szCs w:val="32"/>
          <w:lang w:eastAsia="zh-CN"/>
        </w:rPr>
        <w:t>一</w:t>
      </w:r>
      <w:r>
        <w:rPr>
          <w:rFonts w:hint="eastAsia" w:ascii="仿宋" w:hAnsi="仿宋" w:eastAsia="仿宋" w:cs="仿宋"/>
          <w:sz w:val="32"/>
          <w:szCs w:val="32"/>
        </w:rPr>
        <w:t>级、</w:t>
      </w:r>
      <w:r>
        <w:rPr>
          <w:rFonts w:hint="eastAsia" w:ascii="仿宋" w:hAnsi="仿宋" w:eastAsia="仿宋" w:cs="仿宋"/>
          <w:sz w:val="32"/>
          <w:szCs w:val="32"/>
          <w:lang w:eastAsia="zh-CN"/>
        </w:rPr>
        <w:t>二</w:t>
      </w:r>
      <w:r>
        <w:rPr>
          <w:rFonts w:hint="eastAsia" w:ascii="仿宋" w:hAnsi="仿宋" w:eastAsia="仿宋" w:cs="仿宋"/>
          <w:sz w:val="32"/>
          <w:szCs w:val="32"/>
        </w:rPr>
        <w:t>级响应由市人民政府、市突发环境事件应急指挥部发出启动相关程序的命令，区指挥部应启动本预案，采取适当的措施，组织落实</w:t>
      </w:r>
      <w:r>
        <w:rPr>
          <w:rFonts w:hint="eastAsia" w:ascii="仿宋" w:hAnsi="仿宋" w:eastAsia="仿宋" w:cs="仿宋"/>
          <w:sz w:val="32"/>
          <w:szCs w:val="32"/>
          <w:lang w:eastAsia="zh-CN"/>
        </w:rPr>
        <w:t>市</w:t>
      </w:r>
      <w:r>
        <w:rPr>
          <w:rFonts w:hint="eastAsia" w:ascii="仿宋" w:hAnsi="仿宋" w:eastAsia="仿宋" w:cs="仿宋"/>
          <w:sz w:val="32"/>
          <w:szCs w:val="32"/>
        </w:rPr>
        <w:t>人民政府（</w:t>
      </w:r>
      <w:r>
        <w:rPr>
          <w:rFonts w:hint="eastAsia" w:ascii="仿宋" w:hAnsi="仿宋" w:eastAsia="仿宋" w:cs="仿宋"/>
          <w:sz w:val="32"/>
          <w:szCs w:val="32"/>
          <w:lang w:eastAsia="zh-CN"/>
        </w:rPr>
        <w:t>市</w:t>
      </w:r>
      <w:r>
        <w:rPr>
          <w:rFonts w:hint="eastAsia" w:ascii="仿宋" w:hAnsi="仿宋" w:eastAsia="仿宋" w:cs="仿宋"/>
          <w:sz w:val="32"/>
          <w:szCs w:val="32"/>
        </w:rPr>
        <w:t>指挥部）的相关指令。</w:t>
      </w:r>
    </w:p>
    <w:p w14:paraId="604B7F47">
      <w:pPr>
        <w:pStyle w:val="5"/>
        <w:keepNext w:val="0"/>
        <w:keepLines w:val="0"/>
        <w:pageBreakBefore w:val="0"/>
        <w:widowControl/>
        <w:kinsoku w:val="0"/>
        <w:wordWrap/>
        <w:overflowPunct/>
        <w:topLinePunct w:val="0"/>
        <w:autoSpaceDE w:val="0"/>
        <w:autoSpaceDN w:val="0"/>
        <w:bidi w:val="0"/>
        <w:adjustRightInd w:val="0"/>
        <w:snapToGrid w:val="0"/>
        <w:spacing w:before="227" w:line="560" w:lineRule="exact"/>
        <w:ind w:left="659"/>
        <w:textAlignment w:val="baseline"/>
        <w:rPr>
          <w:rFonts w:hint="eastAsia" w:ascii="仿宋" w:hAnsi="仿宋" w:eastAsia="仿宋" w:cs="仿宋"/>
          <w:sz w:val="32"/>
          <w:szCs w:val="32"/>
        </w:rPr>
      </w:pPr>
      <w:r>
        <w:rPr>
          <w:rFonts w:hint="eastAsia" w:ascii="仿宋" w:hAnsi="仿宋" w:eastAsia="仿宋" w:cs="仿宋"/>
          <w:spacing w:val="6"/>
          <w:sz w:val="32"/>
          <w:szCs w:val="32"/>
          <w14:textOutline w14:w="5792" w14:cap="flat" w14:cmpd="sng">
            <w14:solidFill>
              <w14:srgbClr w14:val="000000"/>
            </w14:solidFill>
            <w14:prstDash w14:val="solid"/>
            <w14:miter w14:val="0"/>
          </w14:textOutline>
        </w:rPr>
        <w:t>（</w:t>
      </w:r>
      <w:r>
        <w:rPr>
          <w:rFonts w:hint="eastAsia" w:ascii="仿宋" w:hAnsi="仿宋" w:eastAsia="仿宋" w:cs="仿宋"/>
          <w:b/>
          <w:bCs/>
          <w:spacing w:val="6"/>
          <w:sz w:val="32"/>
          <w:szCs w:val="32"/>
        </w:rPr>
        <w:t>2</w:t>
      </w:r>
      <w:r>
        <w:rPr>
          <w:rFonts w:hint="eastAsia" w:ascii="仿宋" w:hAnsi="仿宋" w:eastAsia="仿宋" w:cs="仿宋"/>
          <w:spacing w:val="6"/>
          <w:sz w:val="32"/>
          <w:szCs w:val="32"/>
          <w14:textOutline w14:w="5792" w14:cap="flat" w14:cmpd="sng">
            <w14:solidFill>
              <w14:srgbClr w14:val="000000"/>
            </w14:solidFill>
            <w14:prstDash w14:val="solid"/>
            <w14:miter w14:val="0"/>
          </w14:textOutline>
        </w:rPr>
        <w:t>）三级响应</w:t>
      </w:r>
    </w:p>
    <w:p w14:paraId="7C61DE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ascii="仿宋" w:hAnsi="仿宋" w:eastAsia="仿宋" w:cs="仿宋"/>
          <w:spacing w:val="5"/>
          <w:sz w:val="31"/>
          <w:szCs w:val="31"/>
        </w:rPr>
        <w:t>符合较大突发环境事件情形之一或突发环境事件发生后，经</w:t>
      </w:r>
      <w:r>
        <w:rPr>
          <w:rFonts w:hint="eastAsia" w:ascii="仿宋" w:hAnsi="仿宋" w:eastAsia="仿宋" w:cs="仿宋"/>
          <w:sz w:val="32"/>
          <w:szCs w:val="32"/>
        </w:rPr>
        <w:t>区</w:t>
      </w:r>
      <w:r>
        <w:rPr>
          <w:rFonts w:hint="eastAsia" w:ascii="仿宋" w:hAnsi="仿宋" w:eastAsia="仿宋" w:cs="仿宋"/>
          <w:sz w:val="32"/>
          <w:szCs w:val="32"/>
          <w:lang w:eastAsia="zh-CN"/>
        </w:rPr>
        <w:t>应急</w:t>
      </w:r>
      <w:r>
        <w:rPr>
          <w:rFonts w:hint="eastAsia" w:ascii="仿宋" w:hAnsi="仿宋" w:eastAsia="仿宋" w:cs="仿宋"/>
          <w:sz w:val="32"/>
          <w:szCs w:val="32"/>
        </w:rPr>
        <w:t>指挥部</w:t>
      </w:r>
      <w:r>
        <w:rPr>
          <w:rFonts w:ascii="仿宋" w:hAnsi="仿宋" w:eastAsia="仿宋" w:cs="仿宋"/>
          <w:spacing w:val="-2"/>
          <w:sz w:val="31"/>
          <w:szCs w:val="31"/>
        </w:rPr>
        <w:t>分析研判、综合评估，认为需要启动三级应急响应的，</w:t>
      </w:r>
      <w:r>
        <w:rPr>
          <w:rFonts w:ascii="仿宋" w:hAnsi="仿宋" w:eastAsia="仿宋" w:cs="仿宋"/>
          <w:spacing w:val="5"/>
          <w:sz w:val="31"/>
          <w:szCs w:val="31"/>
        </w:rPr>
        <w:t>报请</w:t>
      </w:r>
      <w:r>
        <w:rPr>
          <w:rFonts w:hint="eastAsia" w:ascii="仿宋" w:hAnsi="仿宋" w:eastAsia="仿宋" w:cs="仿宋"/>
          <w:spacing w:val="5"/>
          <w:sz w:val="31"/>
          <w:szCs w:val="31"/>
          <w:lang w:eastAsia="zh-CN"/>
        </w:rPr>
        <w:t>市</w:t>
      </w:r>
      <w:r>
        <w:rPr>
          <w:rFonts w:ascii="仿宋" w:hAnsi="仿宋" w:eastAsia="仿宋" w:cs="仿宋"/>
          <w:spacing w:val="5"/>
          <w:sz w:val="31"/>
          <w:szCs w:val="31"/>
        </w:rPr>
        <w:t>人民政府启动三级应急响应建议，由市人民政府决定启动三</w:t>
      </w:r>
      <w:r>
        <w:rPr>
          <w:rFonts w:ascii="仿宋" w:hAnsi="仿宋" w:eastAsia="仿宋" w:cs="仿宋"/>
          <w:spacing w:val="6"/>
          <w:sz w:val="31"/>
          <w:szCs w:val="31"/>
        </w:rPr>
        <w:t>级</w:t>
      </w:r>
      <w:r>
        <w:rPr>
          <w:rFonts w:hint="eastAsia" w:ascii="仿宋" w:hAnsi="仿宋" w:eastAsia="仿宋" w:cs="仿宋"/>
          <w:sz w:val="32"/>
          <w:szCs w:val="32"/>
        </w:rPr>
        <w:t>应急响应。市启动三级应急响应后，区人民政府及相关部门必须启动相应突发环境应急预案。</w:t>
      </w:r>
    </w:p>
    <w:p w14:paraId="1447B9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在进行三级应急响应时，</w:t>
      </w:r>
      <w:r>
        <w:rPr>
          <w:rFonts w:hint="eastAsia" w:ascii="仿宋" w:hAnsi="仿宋" w:eastAsia="仿宋" w:cs="仿宋"/>
          <w:sz w:val="32"/>
          <w:szCs w:val="32"/>
          <w:lang w:eastAsia="zh-CN"/>
        </w:rPr>
        <w:t>区</w:t>
      </w:r>
      <w:r>
        <w:rPr>
          <w:rFonts w:hint="eastAsia" w:ascii="仿宋" w:hAnsi="仿宋" w:eastAsia="仿宋" w:cs="仿宋"/>
          <w:sz w:val="32"/>
          <w:szCs w:val="32"/>
        </w:rPr>
        <w:t>应急指挥部开展以下工作：</w:t>
      </w:r>
    </w:p>
    <w:p w14:paraId="7ED7F7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1）成立现场应急指挥部，指派现场总指挥人选，赶赴事发现</w:t>
      </w:r>
    </w:p>
    <w:p w14:paraId="4D0F88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场指导督促当地开展应急处置、应急监测、原因调查等工作；</w:t>
      </w:r>
    </w:p>
    <w:p w14:paraId="0CF802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2）根据需要立即组织相关部门应急队伍赶赴事发地实施救援</w:t>
      </w:r>
    </w:p>
    <w:p w14:paraId="02FCC5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和处置，必要时调集事发地周边的应急队伍实施增援；</w:t>
      </w:r>
    </w:p>
    <w:p w14:paraId="203A0F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3）加强与事发地人民政府、现场应急指挥部和</w:t>
      </w:r>
      <w:r>
        <w:rPr>
          <w:rFonts w:hint="eastAsia" w:ascii="仿宋" w:hAnsi="仿宋" w:eastAsia="仿宋" w:cs="仿宋"/>
          <w:sz w:val="32"/>
          <w:szCs w:val="32"/>
          <w:lang w:eastAsia="zh-CN"/>
        </w:rPr>
        <w:t>区</w:t>
      </w:r>
      <w:r>
        <w:rPr>
          <w:rFonts w:hint="eastAsia" w:ascii="仿宋" w:hAnsi="仿宋" w:eastAsia="仿宋" w:cs="仿宋"/>
          <w:sz w:val="32"/>
          <w:szCs w:val="32"/>
        </w:rPr>
        <w:t>有关应急专业指挥机构的通信联系，随时掌握应急工作进展情况和事态发展情况；</w:t>
      </w:r>
    </w:p>
    <w:p w14:paraId="71EACC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4）召集专家组专家分析情况，研究应对措施，为环境应急指</w:t>
      </w:r>
    </w:p>
    <w:p w14:paraId="76839B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挥工作提供决策支持；</w:t>
      </w:r>
    </w:p>
    <w:p w14:paraId="2701DA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5）组织协调相关应急队伍、物资、装备等，为应急处置提供</w:t>
      </w:r>
    </w:p>
    <w:p w14:paraId="24B8D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支援和技术支持；</w:t>
      </w:r>
    </w:p>
    <w:p w14:paraId="6DC5C8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6）协调跨行政区域突发环境事件应对工作，及时向可能涉及</w:t>
      </w:r>
    </w:p>
    <w:p w14:paraId="2E54EA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的相邻地市通报情况；</w:t>
      </w:r>
    </w:p>
    <w:p w14:paraId="0F81F9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7）及时向</w:t>
      </w:r>
      <w:r>
        <w:rPr>
          <w:rFonts w:hint="eastAsia" w:ascii="仿宋" w:hAnsi="仿宋" w:eastAsia="仿宋" w:cs="仿宋"/>
          <w:sz w:val="32"/>
          <w:szCs w:val="32"/>
          <w:lang w:eastAsia="zh-CN"/>
        </w:rPr>
        <w:t>市生态环境局、</w:t>
      </w:r>
      <w:r>
        <w:rPr>
          <w:rFonts w:hint="eastAsia" w:ascii="仿宋" w:hAnsi="仿宋" w:eastAsia="仿宋" w:cs="仿宋"/>
          <w:sz w:val="32"/>
          <w:szCs w:val="32"/>
        </w:rPr>
        <w:t>市委、市人民政府报告事件基本情</w:t>
      </w:r>
    </w:p>
    <w:p w14:paraId="4D0F07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况、事态进展和现场救援情况；</w:t>
      </w:r>
    </w:p>
    <w:p w14:paraId="04488728">
      <w:pPr>
        <w:pStyle w:val="5"/>
        <w:keepNext w:val="0"/>
        <w:keepLines w:val="0"/>
        <w:pageBreakBefore w:val="0"/>
        <w:widowControl/>
        <w:kinsoku w:val="0"/>
        <w:wordWrap/>
        <w:overflowPunct/>
        <w:topLinePunct w:val="0"/>
        <w:autoSpaceDE w:val="0"/>
        <w:autoSpaceDN w:val="0"/>
        <w:bidi w:val="0"/>
        <w:adjustRightInd w:val="0"/>
        <w:snapToGrid w:val="0"/>
        <w:spacing w:before="225" w:line="560" w:lineRule="exact"/>
        <w:ind w:firstLine="664" w:firstLineChars="200"/>
        <w:jc w:val="both"/>
        <w:textAlignment w:val="baseline"/>
        <w:rPr>
          <w:rFonts w:ascii="仿宋" w:hAnsi="仿宋" w:eastAsia="仿宋" w:cs="仿宋"/>
          <w:sz w:val="31"/>
          <w:szCs w:val="31"/>
        </w:rPr>
      </w:pPr>
      <w:r>
        <w:rPr>
          <w:spacing w:val="11"/>
          <w:position w:val="21"/>
          <w:sz w:val="31"/>
          <w:szCs w:val="31"/>
        </w:rPr>
        <w:t>8</w:t>
      </w:r>
      <w:r>
        <w:rPr>
          <w:rFonts w:ascii="仿宋" w:hAnsi="仿宋" w:eastAsia="仿宋" w:cs="仿宋"/>
          <w:spacing w:val="11"/>
          <w:position w:val="21"/>
          <w:sz w:val="31"/>
          <w:szCs w:val="31"/>
        </w:rPr>
        <w:t>）统一组织信息发布和舆论引导，根据事件的发展，适时向</w:t>
      </w:r>
    </w:p>
    <w:p w14:paraId="2E4AA41F">
      <w:pPr>
        <w:keepNext w:val="0"/>
        <w:keepLines w:val="0"/>
        <w:pageBreakBefore w:val="0"/>
        <w:widowControl/>
        <w:kinsoku w:val="0"/>
        <w:wordWrap/>
        <w:overflowPunct/>
        <w:topLinePunct w:val="0"/>
        <w:autoSpaceDE w:val="0"/>
        <w:autoSpaceDN w:val="0"/>
        <w:bidi w:val="0"/>
        <w:adjustRightInd w:val="0"/>
        <w:snapToGrid w:val="0"/>
        <w:spacing w:before="1" w:line="560" w:lineRule="exact"/>
        <w:ind w:left="2"/>
        <w:textAlignment w:val="baseline"/>
        <w:rPr>
          <w:rFonts w:ascii="仿宋" w:hAnsi="仿宋" w:eastAsia="仿宋" w:cs="仿宋"/>
          <w:sz w:val="31"/>
          <w:szCs w:val="31"/>
        </w:rPr>
      </w:pPr>
      <w:r>
        <w:rPr>
          <w:rFonts w:ascii="仿宋" w:hAnsi="仿宋" w:eastAsia="仿宋" w:cs="仿宋"/>
          <w:spacing w:val="7"/>
          <w:sz w:val="31"/>
          <w:szCs w:val="31"/>
        </w:rPr>
        <w:t>公众通报事件处置情况。</w:t>
      </w:r>
    </w:p>
    <w:p w14:paraId="3D35CE25">
      <w:pPr>
        <w:pStyle w:val="5"/>
        <w:keepNext w:val="0"/>
        <w:keepLines w:val="0"/>
        <w:pageBreakBefore w:val="0"/>
        <w:widowControl/>
        <w:kinsoku w:val="0"/>
        <w:wordWrap/>
        <w:overflowPunct/>
        <w:topLinePunct w:val="0"/>
        <w:autoSpaceDE w:val="0"/>
        <w:autoSpaceDN w:val="0"/>
        <w:bidi w:val="0"/>
        <w:adjustRightInd w:val="0"/>
        <w:snapToGrid w:val="0"/>
        <w:spacing w:before="225" w:line="560" w:lineRule="exact"/>
        <w:ind w:left="657"/>
        <w:textAlignment w:val="baseline"/>
        <w:rPr>
          <w:rFonts w:ascii="仿宋" w:hAnsi="仿宋" w:eastAsia="仿宋" w:cs="仿宋"/>
          <w:sz w:val="31"/>
          <w:szCs w:val="31"/>
        </w:rPr>
      </w:pPr>
      <w:r>
        <w:rPr>
          <w:rFonts w:ascii="仿宋" w:hAnsi="仿宋" w:eastAsia="仿宋" w:cs="仿宋"/>
          <w:spacing w:val="6"/>
          <w:sz w:val="31"/>
          <w:szCs w:val="31"/>
          <w14:textOutline w14:w="5792" w14:cap="flat" w14:cmpd="sng">
            <w14:solidFill>
              <w14:srgbClr w14:val="000000"/>
            </w14:solidFill>
            <w14:prstDash w14:val="solid"/>
            <w14:miter w14:val="0"/>
          </w14:textOutline>
        </w:rPr>
        <w:t>（</w:t>
      </w:r>
      <w:r>
        <w:rPr>
          <w:b/>
          <w:bCs/>
          <w:spacing w:val="6"/>
          <w:sz w:val="31"/>
          <w:szCs w:val="31"/>
        </w:rPr>
        <w:t>3</w:t>
      </w:r>
      <w:r>
        <w:rPr>
          <w:rFonts w:ascii="仿宋" w:hAnsi="仿宋" w:eastAsia="仿宋" w:cs="仿宋"/>
          <w:spacing w:val="6"/>
          <w:sz w:val="31"/>
          <w:szCs w:val="31"/>
          <w14:textOutline w14:w="5792" w14:cap="flat" w14:cmpd="sng">
            <w14:solidFill>
              <w14:srgbClr w14:val="000000"/>
            </w14:solidFill>
            <w14:prstDash w14:val="solid"/>
            <w14:miter w14:val="0"/>
          </w14:textOutline>
        </w:rPr>
        <w:t>）四级响应</w:t>
      </w:r>
    </w:p>
    <w:p w14:paraId="2CCD9D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初判发生一般突发环境事件，由区人民政府启动四级应急响应并负责应对工作，启动区人民政府及相关部门突发环境事件应急预案，若发生超出区人民政府应急处置能力或跨区区域的一般突发环境事件，由涉事单位所在地区人民政府牵头，联合受影响区域区人民政府共同负责，本预案和市相关部门预案视情启动。需要有关应急力量支援时，及时向市应急指挥部提出请求。</w:t>
      </w:r>
    </w:p>
    <w:p w14:paraId="7C7E1F15">
      <w:pPr>
        <w:pStyle w:val="5"/>
        <w:keepNext w:val="0"/>
        <w:keepLines w:val="0"/>
        <w:pageBreakBefore w:val="0"/>
        <w:widowControl/>
        <w:kinsoku w:val="0"/>
        <w:wordWrap/>
        <w:overflowPunct/>
        <w:topLinePunct w:val="0"/>
        <w:autoSpaceDE w:val="0"/>
        <w:autoSpaceDN w:val="0"/>
        <w:bidi w:val="0"/>
        <w:adjustRightInd w:val="0"/>
        <w:snapToGrid w:val="0"/>
        <w:spacing w:before="229" w:line="560" w:lineRule="exact"/>
        <w:ind w:firstLine="628" w:firstLineChars="20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突发环境事件分级根据本预案七、（一）的相</w:t>
      </w:r>
      <w:r>
        <w:rPr>
          <w:rFonts w:hint="eastAsia" w:ascii="仿宋" w:hAnsi="仿宋" w:eastAsia="仿宋" w:cs="仿宋"/>
          <w:spacing w:val="-4"/>
          <w:sz w:val="32"/>
          <w:szCs w:val="32"/>
        </w:rPr>
        <w:t>应分级标准确定,</w:t>
      </w:r>
      <w:r>
        <w:rPr>
          <w:rFonts w:hint="eastAsia" w:ascii="仿宋" w:hAnsi="仿宋" w:eastAsia="仿宋" w:cs="仿宋"/>
          <w:spacing w:val="8"/>
          <w:sz w:val="32"/>
          <w:szCs w:val="32"/>
        </w:rPr>
        <w:t>国家对突发环境事件分级标准有更新的,按照最新规定执行。当突</w:t>
      </w:r>
      <w:r>
        <w:rPr>
          <w:rFonts w:hint="eastAsia" w:ascii="仿宋" w:hAnsi="仿宋" w:eastAsia="仿宋" w:cs="仿宋"/>
          <w:spacing w:val="6"/>
          <w:sz w:val="32"/>
          <w:szCs w:val="32"/>
        </w:rPr>
        <w:t>发环境事件造成的危害程度已超出我市自身控制能力，需要省级以上或其他地市提供援助或支持时，由市委、市人民政府按相关程序报省委、省人民政府协调处置。突发环境事件发生在易造成重大影响的地区或重要时段时，可适当提高响应级别，并及时向上一级报告。当上级应急救援力量到达时，应急指挥权依权限相应移交，市</w:t>
      </w:r>
      <w:r>
        <w:rPr>
          <w:rFonts w:hint="eastAsia" w:ascii="仿宋" w:hAnsi="仿宋" w:eastAsia="仿宋" w:cs="仿宋"/>
          <w:spacing w:val="8"/>
          <w:sz w:val="32"/>
          <w:szCs w:val="32"/>
        </w:rPr>
        <w:t>应急指挥部组织各成员单位全力配合开展事件应对工作。</w:t>
      </w:r>
    </w:p>
    <w:p w14:paraId="2B1B31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应急响应启动后,可视事件损失情况及其发展趋势调整相应级别,避免响应不足或响应过度。</w:t>
      </w:r>
    </w:p>
    <w:p w14:paraId="3E22E2E8">
      <w:pPr>
        <w:pStyle w:val="4"/>
        <w:bidi w:val="0"/>
      </w:pPr>
      <w:bookmarkStart w:id="22" w:name="_Toc17022"/>
      <w:r>
        <w:t>3.响应措施</w:t>
      </w:r>
      <w:bookmarkEnd w:id="22"/>
    </w:p>
    <w:p w14:paraId="210B854D">
      <w:pPr>
        <w:keepNext w:val="0"/>
        <w:keepLines w:val="0"/>
        <w:pageBreakBefore w:val="0"/>
        <w:widowControl/>
        <w:kinsoku w:val="0"/>
        <w:wordWrap/>
        <w:overflowPunct/>
        <w:topLinePunct w:val="0"/>
        <w:autoSpaceDE w:val="0"/>
        <w:autoSpaceDN w:val="0"/>
        <w:bidi w:val="0"/>
        <w:adjustRightInd w:val="0"/>
        <w:snapToGrid w:val="0"/>
        <w:spacing w:before="230" w:line="560" w:lineRule="exact"/>
        <w:ind w:right="4" w:firstLine="664"/>
        <w:jc w:val="right"/>
        <w:textAlignment w:val="baseline"/>
        <w:rPr>
          <w:rFonts w:ascii="仿宋" w:hAnsi="仿宋" w:eastAsia="仿宋" w:cs="仿宋"/>
          <w:spacing w:val="11"/>
          <w:position w:val="21"/>
          <w:sz w:val="32"/>
          <w:szCs w:val="32"/>
        </w:rPr>
      </w:pPr>
      <w:r>
        <w:rPr>
          <w:rFonts w:ascii="仿宋" w:hAnsi="仿宋" w:eastAsia="仿宋" w:cs="仿宋"/>
          <w:spacing w:val="11"/>
          <w:position w:val="21"/>
          <w:sz w:val="32"/>
          <w:szCs w:val="32"/>
        </w:rPr>
        <w:t>突发环境事件发生后,事发地区人民政府必须迅速取措施,各有关单位按照职责参与,主要包括环境应急监测、污染源监控、确定重点防护区域、分配救援任务,协调各级、各类救援队伍</w:t>
      </w:r>
    </w:p>
    <w:p w14:paraId="3969C57F">
      <w:pPr>
        <w:keepNext w:val="0"/>
        <w:keepLines w:val="0"/>
        <w:pageBreakBefore w:val="0"/>
        <w:widowControl/>
        <w:kinsoku w:val="0"/>
        <w:wordWrap/>
        <w:overflowPunct/>
        <w:topLinePunct w:val="0"/>
        <w:autoSpaceDE w:val="0"/>
        <w:autoSpaceDN w:val="0"/>
        <w:bidi w:val="0"/>
        <w:adjustRightInd w:val="0"/>
        <w:snapToGrid w:val="0"/>
        <w:spacing w:before="230" w:line="560" w:lineRule="exact"/>
        <w:ind w:right="4"/>
        <w:jc w:val="both"/>
        <w:textAlignment w:val="baseline"/>
        <w:rPr>
          <w:rFonts w:ascii="仿宋" w:hAnsi="仿宋" w:eastAsia="仿宋" w:cs="仿宋"/>
          <w:spacing w:val="11"/>
          <w:position w:val="21"/>
          <w:sz w:val="32"/>
          <w:szCs w:val="32"/>
        </w:rPr>
      </w:pPr>
      <w:r>
        <w:rPr>
          <w:rFonts w:ascii="仿宋" w:hAnsi="仿宋" w:eastAsia="仿宋" w:cs="仿宋"/>
          <w:spacing w:val="11"/>
          <w:position w:val="21"/>
          <w:sz w:val="32"/>
          <w:szCs w:val="32"/>
        </w:rPr>
        <w:t>的行动,疏散群众,查明并及时组织力量消除次生、衍生灾害,组织抢修公共设施、接收和分配救援物资。</w:t>
      </w:r>
    </w:p>
    <w:p w14:paraId="6C8B5A71">
      <w:pPr>
        <w:pStyle w:val="5"/>
        <w:keepNext w:val="0"/>
        <w:keepLines w:val="0"/>
        <w:pageBreakBefore w:val="0"/>
        <w:widowControl/>
        <w:kinsoku w:val="0"/>
        <w:wordWrap/>
        <w:overflowPunct/>
        <w:topLinePunct w:val="0"/>
        <w:autoSpaceDE w:val="0"/>
        <w:autoSpaceDN w:val="0"/>
        <w:bidi w:val="0"/>
        <w:adjustRightInd w:val="0"/>
        <w:snapToGrid w:val="0"/>
        <w:spacing w:before="226" w:line="560" w:lineRule="exact"/>
        <w:ind w:left="653"/>
        <w:textAlignment w:val="baseline"/>
        <w:rPr>
          <w:rFonts w:ascii="仿宋" w:hAnsi="仿宋" w:eastAsia="仿宋" w:cs="仿宋"/>
          <w:sz w:val="31"/>
          <w:szCs w:val="31"/>
        </w:rPr>
      </w:pPr>
      <w:r>
        <w:rPr>
          <w:rFonts w:ascii="仿宋" w:hAnsi="仿宋" w:eastAsia="仿宋" w:cs="仿宋"/>
          <w:spacing w:val="6"/>
          <w:sz w:val="31"/>
          <w:szCs w:val="31"/>
          <w14:textOutline w14:w="5792" w14:cap="flat" w14:cmpd="sng">
            <w14:solidFill>
              <w14:srgbClr w14:val="000000"/>
            </w14:solidFill>
            <w14:prstDash w14:val="solid"/>
            <w14:miter w14:val="0"/>
          </w14:textOutline>
        </w:rPr>
        <w:t>（</w:t>
      </w:r>
      <w:r>
        <w:rPr>
          <w:b/>
          <w:bCs/>
          <w:spacing w:val="6"/>
          <w:sz w:val="31"/>
          <w:szCs w:val="31"/>
        </w:rPr>
        <w:t>1</w:t>
      </w:r>
      <w:r>
        <w:rPr>
          <w:rFonts w:ascii="仿宋" w:hAnsi="仿宋" w:eastAsia="仿宋" w:cs="仿宋"/>
          <w:spacing w:val="6"/>
          <w:sz w:val="31"/>
          <w:szCs w:val="31"/>
          <w14:textOutline w14:w="5792" w14:cap="flat" w14:cmpd="sng">
            <w14:solidFill>
              <w14:srgbClr w14:val="000000"/>
            </w14:solidFill>
            <w14:prstDash w14:val="solid"/>
            <w14:miter w14:val="0"/>
          </w14:textOutline>
        </w:rPr>
        <w:t>）先期处置</w:t>
      </w:r>
    </w:p>
    <w:p w14:paraId="4DAE3110">
      <w:pPr>
        <w:keepNext w:val="0"/>
        <w:keepLines w:val="0"/>
        <w:pageBreakBefore w:val="0"/>
        <w:widowControl/>
        <w:kinsoku w:val="0"/>
        <w:wordWrap/>
        <w:overflowPunct/>
        <w:topLinePunct w:val="0"/>
        <w:autoSpaceDE w:val="0"/>
        <w:autoSpaceDN w:val="0"/>
        <w:bidi w:val="0"/>
        <w:adjustRightInd w:val="0"/>
        <w:snapToGrid w:val="0"/>
        <w:spacing w:before="220" w:line="560" w:lineRule="exact"/>
        <w:ind w:right="31" w:firstLine="660"/>
        <w:jc w:val="both"/>
        <w:textAlignment w:val="baseline"/>
        <w:rPr>
          <w:rFonts w:ascii="仿宋" w:hAnsi="仿宋" w:eastAsia="仿宋" w:cs="仿宋"/>
          <w:sz w:val="32"/>
          <w:szCs w:val="32"/>
        </w:rPr>
      </w:pPr>
      <w:r>
        <w:rPr>
          <w:rFonts w:ascii="仿宋" w:hAnsi="仿宋" w:eastAsia="仿宋" w:cs="仿宋"/>
          <w:spacing w:val="10"/>
          <w:sz w:val="32"/>
          <w:szCs w:val="32"/>
        </w:rPr>
        <w:t>涉事单位应当立即启动突发环境事件应急预案,采取切断或者</w:t>
      </w:r>
      <w:r>
        <w:rPr>
          <w:rFonts w:ascii="仿宋" w:hAnsi="仿宋" w:eastAsia="仿宋" w:cs="仿宋"/>
          <w:spacing w:val="11"/>
          <w:sz w:val="32"/>
          <w:szCs w:val="32"/>
        </w:rPr>
        <w:t>控制污染源以及其他防止危害扩大的必要措施,及时通报可能受到危害的单位和居民,并向所在地区、镇(街道)人民政府</w:t>
      </w:r>
      <w:r>
        <w:rPr>
          <w:rFonts w:ascii="仿宋" w:hAnsi="仿宋" w:eastAsia="仿宋" w:cs="仿宋"/>
          <w:spacing w:val="10"/>
          <w:sz w:val="32"/>
          <w:szCs w:val="32"/>
        </w:rPr>
        <w:t>及其</w:t>
      </w:r>
      <w:r>
        <w:rPr>
          <w:rFonts w:ascii="仿宋" w:hAnsi="仿宋" w:eastAsia="仿宋" w:cs="仿宋"/>
          <w:spacing w:val="8"/>
          <w:sz w:val="32"/>
          <w:szCs w:val="32"/>
        </w:rPr>
        <w:t>生态环境部门报告。当涉事单位或其他生产经营者不明时,由当地</w:t>
      </w:r>
      <w:r>
        <w:rPr>
          <w:rFonts w:ascii="仿宋" w:hAnsi="仿宋" w:eastAsia="仿宋" w:cs="仿宋"/>
          <w:spacing w:val="11"/>
          <w:sz w:val="32"/>
          <w:szCs w:val="32"/>
        </w:rPr>
        <w:t>生态环境部门会同公安等部门组织对污染来源开展调查,查明涉事</w:t>
      </w:r>
      <w:r>
        <w:rPr>
          <w:rFonts w:ascii="仿宋" w:hAnsi="仿宋" w:eastAsia="仿宋" w:cs="仿宋"/>
          <w:spacing w:val="8"/>
          <w:sz w:val="32"/>
          <w:szCs w:val="32"/>
        </w:rPr>
        <w:t>单位,确定污染物种类和污染范围，切断污染源。</w:t>
      </w:r>
    </w:p>
    <w:p w14:paraId="67A64B46">
      <w:pPr>
        <w:pStyle w:val="5"/>
        <w:keepNext w:val="0"/>
        <w:keepLines w:val="0"/>
        <w:pageBreakBefore w:val="0"/>
        <w:widowControl/>
        <w:kinsoku w:val="0"/>
        <w:wordWrap/>
        <w:overflowPunct/>
        <w:topLinePunct w:val="0"/>
        <w:autoSpaceDE w:val="0"/>
        <w:autoSpaceDN w:val="0"/>
        <w:bidi w:val="0"/>
        <w:adjustRightInd w:val="0"/>
        <w:snapToGrid w:val="0"/>
        <w:spacing w:before="227" w:line="560" w:lineRule="exact"/>
        <w:ind w:left="653"/>
        <w:textAlignment w:val="baseline"/>
        <w:rPr>
          <w:rFonts w:ascii="仿宋" w:hAnsi="仿宋" w:eastAsia="仿宋" w:cs="仿宋"/>
          <w:sz w:val="31"/>
          <w:szCs w:val="31"/>
        </w:rPr>
      </w:pPr>
      <w:r>
        <w:rPr>
          <w:rFonts w:ascii="仿宋" w:hAnsi="仿宋" w:eastAsia="仿宋" w:cs="仿宋"/>
          <w:spacing w:val="6"/>
          <w:sz w:val="31"/>
          <w:szCs w:val="31"/>
          <w14:textOutline w14:w="5792" w14:cap="flat" w14:cmpd="sng">
            <w14:solidFill>
              <w14:srgbClr w14:val="000000"/>
            </w14:solidFill>
            <w14:prstDash w14:val="solid"/>
            <w14:miter w14:val="0"/>
          </w14:textOutline>
        </w:rPr>
        <w:t>（</w:t>
      </w:r>
      <w:r>
        <w:rPr>
          <w:b/>
          <w:bCs/>
          <w:spacing w:val="6"/>
          <w:sz w:val="31"/>
          <w:szCs w:val="31"/>
        </w:rPr>
        <w:t>2</w:t>
      </w:r>
      <w:r>
        <w:rPr>
          <w:rFonts w:ascii="仿宋" w:hAnsi="仿宋" w:eastAsia="仿宋" w:cs="仿宋"/>
          <w:spacing w:val="6"/>
          <w:sz w:val="31"/>
          <w:szCs w:val="31"/>
          <w14:textOutline w14:w="5792" w14:cap="flat" w14:cmpd="sng">
            <w14:solidFill>
              <w14:srgbClr w14:val="000000"/>
            </w14:solidFill>
            <w14:prstDash w14:val="solid"/>
            <w14:miter w14:val="0"/>
          </w14:textOutline>
        </w:rPr>
        <w:t>）指挥协调</w:t>
      </w:r>
    </w:p>
    <w:p w14:paraId="0A77B5DB">
      <w:pPr>
        <w:keepNext w:val="0"/>
        <w:keepLines w:val="0"/>
        <w:pageBreakBefore w:val="0"/>
        <w:widowControl/>
        <w:kinsoku w:val="0"/>
        <w:wordWrap/>
        <w:overflowPunct/>
        <w:topLinePunct w:val="0"/>
        <w:autoSpaceDE w:val="0"/>
        <w:autoSpaceDN w:val="0"/>
        <w:bidi w:val="0"/>
        <w:adjustRightInd w:val="0"/>
        <w:snapToGrid w:val="0"/>
        <w:spacing w:before="219" w:line="560" w:lineRule="exact"/>
        <w:ind w:left="9" w:right="31" w:firstLine="638"/>
        <w:jc w:val="both"/>
        <w:textAlignment w:val="baseline"/>
        <w:rPr>
          <w:rFonts w:ascii="仿宋" w:hAnsi="仿宋" w:eastAsia="仿宋" w:cs="仿宋"/>
          <w:sz w:val="32"/>
          <w:szCs w:val="32"/>
        </w:rPr>
      </w:pPr>
      <w:r>
        <w:rPr>
          <w:rFonts w:ascii="仿宋" w:hAnsi="仿宋" w:eastAsia="仿宋" w:cs="仿宋"/>
          <w:spacing w:val="17"/>
          <w:sz w:val="32"/>
          <w:szCs w:val="32"/>
        </w:rPr>
        <w:t>上级人民政府及其相关部门指导下级人民政府及其相关部门</w:t>
      </w:r>
      <w:r>
        <w:rPr>
          <w:rFonts w:ascii="仿宋" w:hAnsi="仿宋" w:eastAsia="仿宋" w:cs="仿宋"/>
          <w:spacing w:val="11"/>
          <w:sz w:val="32"/>
          <w:szCs w:val="32"/>
        </w:rPr>
        <w:t>开展突发环境事件应对工作。上级组织指挥机构设立后,下级组织</w:t>
      </w:r>
      <w:r>
        <w:rPr>
          <w:rFonts w:ascii="仿宋" w:hAnsi="仿宋" w:eastAsia="仿宋" w:cs="仿宋"/>
          <w:spacing w:val="9"/>
          <w:sz w:val="32"/>
          <w:szCs w:val="32"/>
        </w:rPr>
        <w:t>指挥机构按照上级组织指挥机构要求做好应急处置与救援工作。</w:t>
      </w:r>
    </w:p>
    <w:p w14:paraId="1FC080FC">
      <w:pPr>
        <w:keepNext w:val="0"/>
        <w:keepLines w:val="0"/>
        <w:pageBreakBefore w:val="0"/>
        <w:widowControl/>
        <w:kinsoku w:val="0"/>
        <w:wordWrap/>
        <w:overflowPunct/>
        <w:topLinePunct w:val="0"/>
        <w:autoSpaceDE w:val="0"/>
        <w:autoSpaceDN w:val="0"/>
        <w:bidi w:val="0"/>
        <w:adjustRightInd w:val="0"/>
        <w:snapToGrid w:val="0"/>
        <w:spacing w:before="232" w:line="560" w:lineRule="exact"/>
        <w:ind w:left="7" w:right="33" w:firstLine="640"/>
        <w:jc w:val="both"/>
        <w:textAlignment w:val="baseline"/>
        <w:rPr>
          <w:rFonts w:ascii="仿宋" w:hAnsi="仿宋" w:eastAsia="仿宋" w:cs="仿宋"/>
          <w:sz w:val="32"/>
          <w:szCs w:val="32"/>
        </w:rPr>
      </w:pPr>
      <w:r>
        <w:rPr>
          <w:rFonts w:ascii="仿宋" w:hAnsi="仿宋" w:eastAsia="仿宋" w:cs="仿宋"/>
          <w:spacing w:val="11"/>
          <w:sz w:val="32"/>
          <w:szCs w:val="32"/>
        </w:rPr>
        <w:t>上级人民政府设立现场指挥部的,下级人民政府现场指挥部应纳入上级现场指挥部。上级工作组到达现场后,下级现场指挥部应当接受其业务指导,并按要求做好保障工作。参与现场救援的各类</w:t>
      </w:r>
      <w:r>
        <w:rPr>
          <w:rFonts w:ascii="仿宋" w:hAnsi="仿宋" w:eastAsia="仿宋" w:cs="仿宋"/>
          <w:spacing w:val="16"/>
          <w:sz w:val="32"/>
          <w:szCs w:val="32"/>
        </w:rPr>
        <w:t>应急力量到达现场后,应当及时与现场指挥部做好衔接,服从现场</w:t>
      </w:r>
      <w:r>
        <w:rPr>
          <w:rFonts w:ascii="仿宋" w:hAnsi="仿宋" w:eastAsia="仿宋" w:cs="仿宋"/>
          <w:spacing w:val="7"/>
          <w:sz w:val="32"/>
          <w:szCs w:val="32"/>
        </w:rPr>
        <w:t>指挥部的决策,接受统一指挥调度,并及时报告现场</w:t>
      </w:r>
      <w:r>
        <w:rPr>
          <w:rFonts w:ascii="仿宋" w:hAnsi="仿宋" w:eastAsia="仿宋" w:cs="仿宋"/>
          <w:spacing w:val="6"/>
          <w:sz w:val="32"/>
          <w:szCs w:val="32"/>
        </w:rPr>
        <w:t>救援进展情况。</w:t>
      </w:r>
    </w:p>
    <w:p w14:paraId="7BD7F9D6">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ascii="Arial"/>
          <w:sz w:val="21"/>
        </w:rPr>
      </w:pPr>
      <w:r>
        <w:rPr>
          <w:rFonts w:ascii="仿宋" w:hAnsi="仿宋" w:eastAsia="仿宋" w:cs="仿宋"/>
          <w:spacing w:val="7"/>
          <w:sz w:val="31"/>
          <w:szCs w:val="31"/>
          <w14:textOutline w14:w="5792" w14:cap="flat" w14:cmpd="sng">
            <w14:solidFill>
              <w14:srgbClr w14:val="000000"/>
            </w14:solidFill>
            <w14:prstDash w14:val="solid"/>
            <w14:miter w14:val="0"/>
          </w14:textOutline>
        </w:rPr>
        <w:t>（</w:t>
      </w:r>
      <w:r>
        <w:rPr>
          <w:b/>
          <w:bCs/>
          <w:spacing w:val="7"/>
          <w:sz w:val="31"/>
          <w:szCs w:val="31"/>
        </w:rPr>
        <w:t>3</w:t>
      </w:r>
      <w:r>
        <w:rPr>
          <w:rFonts w:ascii="仿宋" w:hAnsi="仿宋" w:eastAsia="仿宋" w:cs="仿宋"/>
          <w:spacing w:val="7"/>
          <w:sz w:val="31"/>
          <w:szCs w:val="31"/>
          <w14:textOutline w14:w="5792" w14:cap="flat" w14:cmpd="sng">
            <w14:solidFill>
              <w14:srgbClr w14:val="000000"/>
            </w14:solidFill>
            <w14:prstDash w14:val="solid"/>
            <w14:miter w14:val="0"/>
          </w14:textOutline>
        </w:rPr>
        <w:t>）现场污染处置</w:t>
      </w:r>
    </w:p>
    <w:p w14:paraId="6BA405A8">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 w:firstLine="653"/>
        <w:jc w:val="both"/>
        <w:textAlignment w:val="baseline"/>
        <w:rPr>
          <w:rFonts w:ascii="仿宋" w:hAnsi="仿宋" w:eastAsia="仿宋" w:cs="仿宋"/>
          <w:sz w:val="32"/>
          <w:szCs w:val="32"/>
        </w:rPr>
      </w:pPr>
      <w:r>
        <w:rPr>
          <w:rFonts w:ascii="仿宋" w:hAnsi="仿宋" w:eastAsia="仿宋" w:cs="仿宋"/>
          <w:spacing w:val="11"/>
          <w:sz w:val="32"/>
          <w:szCs w:val="32"/>
        </w:rPr>
        <w:t>事发地人民政府应组织制订综合治污方案,采用监测和模拟等手段追踪污染气体扩散途径和范围;采取拦截、导流、疏浚等形式</w:t>
      </w:r>
      <w:r>
        <w:rPr>
          <w:rFonts w:ascii="仿宋" w:hAnsi="仿宋" w:eastAsia="仿宋" w:cs="仿宋"/>
          <w:spacing w:val="9"/>
          <w:sz w:val="32"/>
          <w:szCs w:val="32"/>
        </w:rPr>
        <w:t>防止水体污染扩大;采取隔离、吸附、打捞、氧化还原、中和、沉</w:t>
      </w:r>
      <w:r>
        <w:rPr>
          <w:rFonts w:ascii="仿宋" w:hAnsi="仿宋" w:eastAsia="仿宋" w:cs="仿宋"/>
          <w:spacing w:val="6"/>
          <w:sz w:val="32"/>
          <w:szCs w:val="32"/>
        </w:rPr>
        <w:t>淀、消毒、去污洗消、临时收贮、微生物降解、调水稀释、转移异地处置、临时改造污染处置工艺或临时建设污染处置工程等方法处置污染物。必要时,依法要求其他排污单位停产、限产、限</w:t>
      </w:r>
      <w:r>
        <w:rPr>
          <w:rFonts w:ascii="仿宋" w:hAnsi="仿宋" w:eastAsia="仿宋" w:cs="仿宋"/>
          <w:spacing w:val="5"/>
          <w:sz w:val="32"/>
          <w:szCs w:val="32"/>
        </w:rPr>
        <w:t>排,减轻</w:t>
      </w:r>
      <w:r>
        <w:rPr>
          <w:rFonts w:ascii="仿宋" w:hAnsi="仿宋" w:eastAsia="仿宋" w:cs="仿宋"/>
          <w:spacing w:val="11"/>
          <w:sz w:val="32"/>
          <w:szCs w:val="32"/>
        </w:rPr>
        <w:t>环境污染负荷。应及时对应急处置效果进行跟踪评估,适时调整与</w:t>
      </w:r>
      <w:r>
        <w:rPr>
          <w:rFonts w:ascii="仿宋" w:hAnsi="仿宋" w:eastAsia="仿宋" w:cs="仿宋"/>
          <w:spacing w:val="5"/>
          <w:sz w:val="32"/>
          <w:szCs w:val="32"/>
        </w:rPr>
        <w:t>完善应急处置措施。</w:t>
      </w:r>
    </w:p>
    <w:p w14:paraId="59026ED4">
      <w:pPr>
        <w:pStyle w:val="5"/>
        <w:spacing w:before="224" w:line="224" w:lineRule="auto"/>
        <w:ind w:left="657"/>
        <w:rPr>
          <w:rFonts w:ascii="仿宋" w:hAnsi="仿宋" w:eastAsia="仿宋" w:cs="仿宋"/>
          <w:sz w:val="31"/>
          <w:szCs w:val="31"/>
        </w:rPr>
      </w:pPr>
      <w:r>
        <w:rPr>
          <w:rFonts w:ascii="仿宋" w:hAnsi="仿宋" w:eastAsia="仿宋" w:cs="仿宋"/>
          <w:spacing w:val="8"/>
          <w:sz w:val="31"/>
          <w:szCs w:val="31"/>
          <w14:textOutline w14:w="5792" w14:cap="flat" w14:cmpd="sng">
            <w14:solidFill>
              <w14:srgbClr w14:val="000000"/>
            </w14:solidFill>
            <w14:prstDash w14:val="solid"/>
            <w14:miter w14:val="0"/>
          </w14:textOutline>
        </w:rPr>
        <w:t>（</w:t>
      </w:r>
      <w:r>
        <w:rPr>
          <w:b/>
          <w:bCs/>
          <w:spacing w:val="8"/>
          <w:sz w:val="31"/>
          <w:szCs w:val="31"/>
        </w:rPr>
        <w:t>4</w:t>
      </w:r>
      <w:r>
        <w:rPr>
          <w:rFonts w:ascii="仿宋" w:hAnsi="仿宋" w:eastAsia="仿宋" w:cs="仿宋"/>
          <w:spacing w:val="8"/>
          <w:sz w:val="31"/>
          <w:szCs w:val="31"/>
          <w14:textOutline w14:w="5792" w14:cap="flat" w14:cmpd="sng">
            <w14:solidFill>
              <w14:srgbClr w14:val="000000"/>
            </w14:solidFill>
            <w14:prstDash w14:val="solid"/>
            <w14:miter w14:val="0"/>
          </w14:textOutline>
        </w:rPr>
        <w:t>）现场管制与人员安置转移</w:t>
      </w:r>
    </w:p>
    <w:p w14:paraId="4E559031">
      <w:pPr>
        <w:spacing w:before="227" w:line="357" w:lineRule="auto"/>
        <w:ind w:left="8" w:right="2" w:firstLine="631"/>
        <w:jc w:val="both"/>
        <w:rPr>
          <w:rFonts w:ascii="仿宋" w:hAnsi="仿宋" w:eastAsia="仿宋" w:cs="仿宋"/>
          <w:sz w:val="32"/>
          <w:szCs w:val="32"/>
        </w:rPr>
      </w:pPr>
      <w:r>
        <w:rPr>
          <w:rFonts w:ascii="仿宋" w:hAnsi="仿宋" w:eastAsia="仿宋" w:cs="仿宋"/>
          <w:spacing w:val="6"/>
          <w:sz w:val="32"/>
          <w:szCs w:val="32"/>
        </w:rPr>
        <w:t>根据突发环境事件影响及事发地气象、地理环境</w:t>
      </w:r>
      <w:r>
        <w:rPr>
          <w:rFonts w:ascii="仿宋" w:hAnsi="仿宋" w:eastAsia="仿宋" w:cs="仿宋"/>
          <w:spacing w:val="5"/>
          <w:sz w:val="32"/>
          <w:szCs w:val="32"/>
        </w:rPr>
        <w:t>、人员密集度</w:t>
      </w:r>
      <w:r>
        <w:rPr>
          <w:rFonts w:ascii="仿宋" w:hAnsi="仿宋" w:eastAsia="仿宋" w:cs="仿宋"/>
          <w:spacing w:val="6"/>
          <w:sz w:val="32"/>
          <w:szCs w:val="32"/>
        </w:rPr>
        <w:t>等，建立现场警戒区域、交通管制区域和重点防护区</w:t>
      </w:r>
      <w:r>
        <w:rPr>
          <w:rFonts w:ascii="仿宋" w:hAnsi="仿宋" w:eastAsia="仿宋" w:cs="仿宋"/>
          <w:spacing w:val="5"/>
          <w:sz w:val="32"/>
          <w:szCs w:val="32"/>
        </w:rPr>
        <w:t>域，确保应急</w:t>
      </w:r>
      <w:r>
        <w:rPr>
          <w:rFonts w:ascii="仿宋" w:hAnsi="仿宋" w:eastAsia="仿宋" w:cs="仿宋"/>
          <w:spacing w:val="6"/>
          <w:sz w:val="32"/>
          <w:szCs w:val="32"/>
        </w:rPr>
        <w:t>现场的交通、通讯，物资及水电得到保障。确定受威</w:t>
      </w:r>
      <w:r>
        <w:rPr>
          <w:rFonts w:ascii="仿宋" w:hAnsi="仿宋" w:eastAsia="仿宋" w:cs="仿宋"/>
          <w:spacing w:val="5"/>
          <w:sz w:val="32"/>
          <w:szCs w:val="32"/>
        </w:rPr>
        <w:t>胁人员的疏散</w:t>
      </w:r>
      <w:r>
        <w:rPr>
          <w:rFonts w:ascii="仿宋" w:hAnsi="仿宋" w:eastAsia="仿宋" w:cs="仿宋"/>
          <w:spacing w:val="6"/>
          <w:sz w:val="32"/>
          <w:szCs w:val="32"/>
        </w:rPr>
        <w:t>方式和途径，有组织、有秩序地及时疏散转移受威胁</w:t>
      </w:r>
      <w:r>
        <w:rPr>
          <w:rFonts w:ascii="仿宋" w:hAnsi="仿宋" w:eastAsia="仿宋" w:cs="仿宋"/>
          <w:spacing w:val="5"/>
          <w:sz w:val="32"/>
          <w:szCs w:val="32"/>
        </w:rPr>
        <w:t>人员和可能受</w:t>
      </w:r>
      <w:r>
        <w:rPr>
          <w:rFonts w:ascii="仿宋" w:hAnsi="仿宋" w:eastAsia="仿宋" w:cs="仿宋"/>
          <w:spacing w:val="6"/>
          <w:sz w:val="32"/>
          <w:szCs w:val="32"/>
        </w:rPr>
        <w:t>影响地区居民，确保生命安全。妥善做好转移人员安</w:t>
      </w:r>
      <w:r>
        <w:rPr>
          <w:rFonts w:ascii="仿宋" w:hAnsi="仿宋" w:eastAsia="仿宋" w:cs="仿宋"/>
          <w:spacing w:val="5"/>
          <w:sz w:val="32"/>
          <w:szCs w:val="32"/>
        </w:rPr>
        <w:t>置工作，确保</w:t>
      </w:r>
      <w:r>
        <w:rPr>
          <w:rFonts w:ascii="仿宋" w:hAnsi="仿宋" w:eastAsia="仿宋" w:cs="仿宋"/>
          <w:spacing w:val="8"/>
          <w:sz w:val="32"/>
          <w:szCs w:val="32"/>
        </w:rPr>
        <w:t>有饭吃、有水喝、有衣穿、有住处和必要医疗条件。</w:t>
      </w:r>
    </w:p>
    <w:p w14:paraId="5CDEC580">
      <w:pPr>
        <w:pStyle w:val="5"/>
        <w:spacing w:before="226" w:line="228" w:lineRule="auto"/>
        <w:ind w:left="657"/>
        <w:rPr>
          <w:rFonts w:ascii="仿宋" w:hAnsi="仿宋" w:eastAsia="仿宋" w:cs="仿宋"/>
          <w:sz w:val="31"/>
          <w:szCs w:val="31"/>
        </w:rPr>
      </w:pPr>
      <w:r>
        <w:rPr>
          <w:rFonts w:ascii="仿宋" w:hAnsi="仿宋" w:eastAsia="仿宋" w:cs="仿宋"/>
          <w:spacing w:val="8"/>
          <w:sz w:val="31"/>
          <w:szCs w:val="31"/>
          <w14:textOutline w14:w="5792" w14:cap="flat" w14:cmpd="sng">
            <w14:solidFill>
              <w14:srgbClr w14:val="000000"/>
            </w14:solidFill>
            <w14:prstDash w14:val="solid"/>
            <w14:miter w14:val="0"/>
          </w14:textOutline>
        </w:rPr>
        <w:t>（</w:t>
      </w:r>
      <w:r>
        <w:rPr>
          <w:b/>
          <w:bCs/>
          <w:spacing w:val="8"/>
          <w:sz w:val="31"/>
          <w:szCs w:val="31"/>
        </w:rPr>
        <w:t>5</w:t>
      </w:r>
      <w:r>
        <w:rPr>
          <w:rFonts w:ascii="仿宋" w:hAnsi="仿宋" w:eastAsia="仿宋" w:cs="仿宋"/>
          <w:spacing w:val="8"/>
          <w:sz w:val="31"/>
          <w:szCs w:val="31"/>
          <w14:textOutline w14:w="5792" w14:cap="flat" w14:cmpd="sng">
            <w14:solidFill>
              <w14:srgbClr w14:val="000000"/>
            </w14:solidFill>
            <w14:prstDash w14:val="solid"/>
            <w14:miter w14:val="0"/>
          </w14:textOutline>
        </w:rPr>
        <w:t>）应急防护与医学救援</w:t>
      </w:r>
    </w:p>
    <w:p w14:paraId="190CB387">
      <w:pPr>
        <w:spacing w:before="219" w:line="357" w:lineRule="auto"/>
        <w:ind w:firstLine="654"/>
        <w:jc w:val="both"/>
        <w:rPr>
          <w:rFonts w:ascii="仿宋" w:hAnsi="仿宋" w:eastAsia="仿宋" w:cs="仿宋"/>
          <w:spacing w:val="2"/>
          <w:sz w:val="32"/>
          <w:szCs w:val="32"/>
        </w:rPr>
      </w:pPr>
      <w:r>
        <w:rPr>
          <w:rFonts w:ascii="仿宋" w:hAnsi="仿宋" w:eastAsia="仿宋" w:cs="仿宋"/>
          <w:spacing w:val="5"/>
          <w:sz w:val="32"/>
          <w:szCs w:val="32"/>
        </w:rPr>
        <w:t>现场应急人员应根据不同类型突发环境事件的特点，采取安全</w:t>
      </w:r>
      <w:r>
        <w:rPr>
          <w:rFonts w:ascii="仿宋" w:hAnsi="仿宋" w:eastAsia="仿宋" w:cs="仿宋"/>
          <w:spacing w:val="6"/>
          <w:sz w:val="32"/>
          <w:szCs w:val="32"/>
        </w:rPr>
        <w:t>保护措施，配备相应专业防护装备，必要时实施轮岗替代，确保人</w:t>
      </w:r>
      <w:r>
        <w:rPr>
          <w:rFonts w:ascii="仿宋" w:hAnsi="仿宋" w:eastAsia="仿宋" w:cs="仿宋"/>
          <w:spacing w:val="2"/>
          <w:sz w:val="32"/>
          <w:szCs w:val="32"/>
        </w:rPr>
        <w:t>身安全。</w:t>
      </w:r>
    </w:p>
    <w:p w14:paraId="736743D6">
      <w:pPr>
        <w:spacing w:before="219" w:line="357" w:lineRule="auto"/>
        <w:ind w:firstLine="654"/>
        <w:jc w:val="both"/>
        <w:rPr>
          <w:rFonts w:ascii="仿宋" w:hAnsi="仿宋" w:eastAsia="仿宋" w:cs="仿宋"/>
          <w:sz w:val="31"/>
          <w:szCs w:val="31"/>
        </w:rPr>
      </w:pPr>
      <w:r>
        <w:rPr>
          <w:rFonts w:ascii="仿宋" w:hAnsi="仿宋" w:eastAsia="仿宋" w:cs="仿宋"/>
          <w:spacing w:val="5"/>
          <w:sz w:val="32"/>
          <w:szCs w:val="32"/>
        </w:rPr>
        <w:t>迅速组织当地医疗资源和力量，对伤病员进行诊断治疗，根据</w:t>
      </w:r>
      <w:r>
        <w:rPr>
          <w:rFonts w:ascii="仿宋" w:hAnsi="仿宋" w:eastAsia="仿宋" w:cs="仿宋"/>
          <w:spacing w:val="17"/>
          <w:sz w:val="32"/>
          <w:szCs w:val="32"/>
        </w:rPr>
        <w:t>需要及时、安全地将重症伤病员转运到有条件的医疗机构加强救</w:t>
      </w:r>
      <w:r>
        <w:rPr>
          <w:rFonts w:ascii="仿宋" w:hAnsi="仿宋" w:eastAsia="仿宋" w:cs="仿宋"/>
          <w:spacing w:val="6"/>
          <w:sz w:val="32"/>
          <w:szCs w:val="32"/>
        </w:rPr>
        <w:t>治。指导和协助开展受污染人员的去污洗消工作，提出保护公众健康的措施建议。视情增派医疗卫生专家和卫生应急队伍、调配急需</w:t>
      </w:r>
      <w:r>
        <w:rPr>
          <w:rFonts w:ascii="仿宋" w:hAnsi="仿宋" w:eastAsia="仿宋" w:cs="仿宋"/>
          <w:spacing w:val="-3"/>
          <w:sz w:val="32"/>
          <w:szCs w:val="32"/>
        </w:rPr>
        <w:t>医药物资，支持事发地医学救援工作。做好受影响人员的心理援助。</w:t>
      </w:r>
    </w:p>
    <w:p w14:paraId="7A77C874">
      <w:pPr>
        <w:pStyle w:val="5"/>
        <w:keepNext w:val="0"/>
        <w:keepLines w:val="0"/>
        <w:pageBreakBefore w:val="0"/>
        <w:widowControl/>
        <w:kinsoku w:val="0"/>
        <w:wordWrap/>
        <w:overflowPunct/>
        <w:topLinePunct w:val="0"/>
        <w:autoSpaceDE w:val="0"/>
        <w:autoSpaceDN w:val="0"/>
        <w:bidi w:val="0"/>
        <w:adjustRightInd w:val="0"/>
        <w:snapToGrid w:val="0"/>
        <w:spacing w:before="227" w:line="560" w:lineRule="exact"/>
        <w:ind w:left="663"/>
        <w:textAlignment w:val="baseline"/>
        <w:rPr>
          <w:rFonts w:ascii="仿宋" w:hAnsi="仿宋" w:eastAsia="仿宋" w:cs="仿宋"/>
          <w:sz w:val="31"/>
          <w:szCs w:val="31"/>
        </w:rPr>
      </w:pPr>
      <w:r>
        <w:rPr>
          <w:rFonts w:hint="eastAsia" w:ascii="仿宋" w:hAnsi="仿宋" w:eastAsia="仿宋" w:cs="仿宋"/>
          <w:spacing w:val="8"/>
          <w:sz w:val="32"/>
          <w:szCs w:val="32"/>
          <w14:textOutline w14:w="5792" w14:cap="flat" w14:cmpd="sng">
            <w14:solidFill>
              <w14:srgbClr w14:val="000000"/>
            </w14:solidFill>
            <w14:prstDash w14:val="solid"/>
            <w14:miter w14:val="0"/>
          </w14:textOutline>
        </w:rPr>
        <w:t>（</w:t>
      </w:r>
      <w:r>
        <w:rPr>
          <w:rFonts w:hint="eastAsia" w:ascii="仿宋" w:hAnsi="仿宋" w:eastAsia="仿宋" w:cs="仿宋"/>
          <w:b/>
          <w:bCs/>
          <w:spacing w:val="8"/>
          <w:sz w:val="32"/>
          <w:szCs w:val="32"/>
        </w:rPr>
        <w:t>6</w:t>
      </w:r>
      <w:r>
        <w:rPr>
          <w:rFonts w:hint="eastAsia" w:ascii="仿宋" w:hAnsi="仿宋" w:eastAsia="仿宋" w:cs="仿宋"/>
          <w:spacing w:val="8"/>
          <w:sz w:val="32"/>
          <w:szCs w:val="32"/>
          <w14:textOutline w14:w="5792" w14:cap="flat" w14:cmpd="sng">
            <w14:solidFill>
              <w14:srgbClr w14:val="000000"/>
            </w14:solidFill>
            <w14:prstDash w14:val="solid"/>
            <w14:miter w14:val="0"/>
          </w14:textOutline>
        </w:rPr>
        <w:t>）现场勘查与应急监测</w:t>
      </w:r>
    </w:p>
    <w:p w14:paraId="51C40644">
      <w:pPr>
        <w:keepNext w:val="0"/>
        <w:keepLines w:val="0"/>
        <w:pageBreakBefore w:val="0"/>
        <w:widowControl/>
        <w:kinsoku w:val="0"/>
        <w:wordWrap/>
        <w:overflowPunct/>
        <w:topLinePunct w:val="0"/>
        <w:autoSpaceDE w:val="0"/>
        <w:autoSpaceDN w:val="0"/>
        <w:bidi w:val="0"/>
        <w:adjustRightInd w:val="0"/>
        <w:snapToGrid w:val="0"/>
        <w:spacing w:before="220" w:line="560" w:lineRule="exact"/>
        <w:ind w:left="13" w:right="65" w:firstLine="640"/>
        <w:jc w:val="both"/>
        <w:textAlignment w:val="baseline"/>
        <w:rPr>
          <w:rFonts w:ascii="仿宋" w:hAnsi="仿宋" w:eastAsia="仿宋" w:cs="仿宋"/>
          <w:sz w:val="31"/>
          <w:szCs w:val="31"/>
        </w:rPr>
      </w:pPr>
      <w:r>
        <w:rPr>
          <w:rFonts w:ascii="仿宋" w:hAnsi="仿宋" w:eastAsia="仿宋" w:cs="仿宋"/>
          <w:spacing w:val="5"/>
          <w:sz w:val="31"/>
          <w:szCs w:val="31"/>
        </w:rPr>
        <w:t>妥善保存现场重要的痕迹和物证，及时标记、绘制事故现场示</w:t>
      </w:r>
      <w:r>
        <w:rPr>
          <w:rFonts w:ascii="仿宋" w:hAnsi="仿宋" w:eastAsia="仿宋" w:cs="仿宋"/>
          <w:spacing w:val="6"/>
          <w:sz w:val="31"/>
          <w:szCs w:val="31"/>
        </w:rPr>
        <w:t>意图、制作现场视听资料，做出书面记录。加强大气、水体、</w:t>
      </w:r>
      <w:r>
        <w:rPr>
          <w:rFonts w:ascii="仿宋" w:hAnsi="仿宋" w:eastAsia="仿宋" w:cs="仿宋"/>
          <w:spacing w:val="5"/>
          <w:sz w:val="31"/>
          <w:szCs w:val="31"/>
        </w:rPr>
        <w:t>土壤</w:t>
      </w:r>
      <w:r>
        <w:rPr>
          <w:rFonts w:ascii="仿宋" w:hAnsi="仿宋" w:eastAsia="仿宋" w:cs="仿宋"/>
          <w:spacing w:val="6"/>
          <w:sz w:val="31"/>
          <w:szCs w:val="31"/>
        </w:rPr>
        <w:t>等应急监测工作，根据突发环境事件的污染物种类、性质以及</w:t>
      </w:r>
      <w:r>
        <w:rPr>
          <w:rFonts w:ascii="仿宋" w:hAnsi="仿宋" w:eastAsia="仿宋" w:cs="仿宋"/>
          <w:spacing w:val="5"/>
          <w:sz w:val="31"/>
          <w:szCs w:val="31"/>
        </w:rPr>
        <w:t>当地</w:t>
      </w:r>
      <w:r>
        <w:rPr>
          <w:rFonts w:ascii="仿宋" w:hAnsi="仿宋" w:eastAsia="仿宋" w:cs="仿宋"/>
          <w:spacing w:val="6"/>
          <w:sz w:val="31"/>
          <w:szCs w:val="31"/>
        </w:rPr>
        <w:t>自然、社会环境状况等，明确相应的应急监测方案及监测方法</w:t>
      </w:r>
      <w:r>
        <w:rPr>
          <w:rFonts w:ascii="仿宋" w:hAnsi="仿宋" w:eastAsia="仿宋" w:cs="仿宋"/>
          <w:spacing w:val="5"/>
          <w:sz w:val="31"/>
          <w:szCs w:val="31"/>
        </w:rPr>
        <w:t>，确</w:t>
      </w:r>
      <w:r>
        <w:rPr>
          <w:rFonts w:ascii="仿宋" w:hAnsi="仿宋" w:eastAsia="仿宋" w:cs="仿宋"/>
          <w:spacing w:val="7"/>
          <w:sz w:val="31"/>
          <w:szCs w:val="31"/>
        </w:rPr>
        <w:t>定监测的布点和频次，调配应急监测设备、车辆，</w:t>
      </w:r>
      <w:r>
        <w:rPr>
          <w:rFonts w:ascii="仿宋" w:hAnsi="仿宋" w:eastAsia="仿宋" w:cs="仿宋"/>
          <w:spacing w:val="6"/>
          <w:sz w:val="31"/>
          <w:szCs w:val="31"/>
        </w:rPr>
        <w:t>及时准确监测，</w:t>
      </w:r>
      <w:r>
        <w:rPr>
          <w:rFonts w:ascii="仿宋" w:hAnsi="仿宋" w:eastAsia="仿宋" w:cs="仿宋"/>
          <w:spacing w:val="8"/>
          <w:sz w:val="31"/>
          <w:szCs w:val="31"/>
        </w:rPr>
        <w:t>为突发环境事件应急决策和后续生态环境损害赔偿提供依据。</w:t>
      </w:r>
    </w:p>
    <w:p w14:paraId="10FCB2D4">
      <w:pPr>
        <w:pStyle w:val="5"/>
        <w:keepNext w:val="0"/>
        <w:keepLines w:val="0"/>
        <w:pageBreakBefore w:val="0"/>
        <w:widowControl/>
        <w:kinsoku w:val="0"/>
        <w:wordWrap/>
        <w:overflowPunct/>
        <w:topLinePunct w:val="0"/>
        <w:autoSpaceDE w:val="0"/>
        <w:autoSpaceDN w:val="0"/>
        <w:bidi w:val="0"/>
        <w:adjustRightInd w:val="0"/>
        <w:snapToGrid w:val="0"/>
        <w:spacing w:before="225" w:line="560" w:lineRule="exact"/>
        <w:ind w:left="663"/>
        <w:textAlignment w:val="baseline"/>
        <w:rPr>
          <w:rFonts w:ascii="仿宋" w:hAnsi="仿宋" w:eastAsia="仿宋" w:cs="仿宋"/>
          <w:sz w:val="32"/>
          <w:szCs w:val="32"/>
        </w:rPr>
      </w:pPr>
      <w:r>
        <w:rPr>
          <w:rFonts w:ascii="仿宋" w:hAnsi="仿宋" w:eastAsia="仿宋" w:cs="仿宋"/>
          <w:spacing w:val="7"/>
          <w:sz w:val="32"/>
          <w:szCs w:val="32"/>
          <w14:textOutline w14:w="5792" w14:cap="flat" w14:cmpd="sng">
            <w14:solidFill>
              <w14:srgbClr w14:val="000000"/>
            </w14:solidFill>
            <w14:prstDash w14:val="solid"/>
            <w14:miter w14:val="0"/>
          </w14:textOutline>
        </w:rPr>
        <w:t>（</w:t>
      </w:r>
      <w:r>
        <w:rPr>
          <w:b/>
          <w:bCs/>
          <w:spacing w:val="7"/>
          <w:sz w:val="32"/>
          <w:szCs w:val="32"/>
        </w:rPr>
        <w:t>7</w:t>
      </w:r>
      <w:r>
        <w:rPr>
          <w:rFonts w:ascii="仿宋" w:hAnsi="仿宋" w:eastAsia="仿宋" w:cs="仿宋"/>
          <w:spacing w:val="7"/>
          <w:sz w:val="32"/>
          <w:szCs w:val="32"/>
          <w14:textOutline w14:w="5792" w14:cap="flat" w14:cmpd="sng">
            <w14:solidFill>
              <w14:srgbClr w14:val="000000"/>
            </w14:solidFill>
            <w14:prstDash w14:val="solid"/>
            <w14:miter w14:val="0"/>
          </w14:textOutline>
        </w:rPr>
        <w:t>）市场监管和调控</w:t>
      </w:r>
    </w:p>
    <w:p w14:paraId="519DBEC7">
      <w:pPr>
        <w:keepNext w:val="0"/>
        <w:keepLines w:val="0"/>
        <w:pageBreakBefore w:val="0"/>
        <w:widowControl/>
        <w:kinsoku w:val="0"/>
        <w:wordWrap/>
        <w:overflowPunct/>
        <w:topLinePunct w:val="0"/>
        <w:autoSpaceDE w:val="0"/>
        <w:autoSpaceDN w:val="0"/>
        <w:bidi w:val="0"/>
        <w:adjustRightInd w:val="0"/>
        <w:snapToGrid w:val="0"/>
        <w:spacing w:before="220" w:line="560" w:lineRule="exact"/>
        <w:ind w:left="17" w:right="89" w:firstLine="657"/>
        <w:jc w:val="both"/>
        <w:textAlignment w:val="baseline"/>
        <w:rPr>
          <w:rFonts w:ascii="仿宋" w:hAnsi="仿宋" w:eastAsia="仿宋" w:cs="仿宋"/>
          <w:sz w:val="31"/>
          <w:szCs w:val="31"/>
        </w:rPr>
      </w:pPr>
      <w:r>
        <w:rPr>
          <w:rFonts w:ascii="仿宋" w:hAnsi="仿宋" w:eastAsia="仿宋" w:cs="仿宋"/>
          <w:spacing w:val="10"/>
          <w:sz w:val="31"/>
          <w:szCs w:val="31"/>
        </w:rPr>
        <w:t>密切关注受事件影响地区市场供应情况及公众反应,加强对重</w:t>
      </w:r>
      <w:r>
        <w:rPr>
          <w:rFonts w:ascii="仿宋" w:hAnsi="仿宋" w:eastAsia="仿宋" w:cs="仿宋"/>
          <w:spacing w:val="6"/>
          <w:sz w:val="31"/>
          <w:szCs w:val="31"/>
        </w:rPr>
        <w:t>要生活必需品等商品的市场监管和价格监测调控</w:t>
      </w:r>
      <w:r>
        <w:rPr>
          <w:rFonts w:ascii="仿宋" w:hAnsi="仿宋" w:eastAsia="仿宋" w:cs="仿宋"/>
          <w:spacing w:val="5"/>
          <w:sz w:val="31"/>
          <w:szCs w:val="31"/>
        </w:rPr>
        <w:t>。禁止受污染食品</w:t>
      </w:r>
      <w:r>
        <w:rPr>
          <w:rFonts w:ascii="仿宋" w:hAnsi="仿宋" w:eastAsia="仿宋" w:cs="仿宋"/>
          <w:spacing w:val="11"/>
          <w:sz w:val="31"/>
          <w:szCs w:val="31"/>
        </w:rPr>
        <w:t>和饮用水的生产、加工、流通,防范因突发环境事件造成集体中毒</w:t>
      </w:r>
      <w:r>
        <w:rPr>
          <w:rFonts w:ascii="仿宋" w:hAnsi="仿宋" w:eastAsia="仿宋" w:cs="仿宋"/>
          <w:spacing w:val="-10"/>
          <w:sz w:val="31"/>
          <w:szCs w:val="31"/>
        </w:rPr>
        <w:t>等。</w:t>
      </w:r>
    </w:p>
    <w:p w14:paraId="209AAD77">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663"/>
        <w:textAlignment w:val="baseline"/>
        <w:rPr>
          <w:rFonts w:ascii="仿宋" w:hAnsi="仿宋" w:eastAsia="仿宋" w:cs="仿宋"/>
          <w:sz w:val="31"/>
          <w:szCs w:val="31"/>
        </w:rPr>
      </w:pPr>
      <w:r>
        <w:rPr>
          <w:rFonts w:ascii="仿宋" w:hAnsi="仿宋" w:eastAsia="仿宋" w:cs="仿宋"/>
          <w:spacing w:val="7"/>
          <w:sz w:val="31"/>
          <w:szCs w:val="31"/>
          <w14:textOutline w14:w="5792" w14:cap="flat" w14:cmpd="sng">
            <w14:solidFill>
              <w14:srgbClr w14:val="000000"/>
            </w14:solidFill>
            <w14:prstDash w14:val="solid"/>
            <w14:miter w14:val="0"/>
          </w14:textOutline>
        </w:rPr>
        <w:t>（</w:t>
      </w:r>
      <w:r>
        <w:rPr>
          <w:b/>
          <w:bCs/>
          <w:spacing w:val="7"/>
          <w:sz w:val="31"/>
          <w:szCs w:val="31"/>
        </w:rPr>
        <w:t>8</w:t>
      </w:r>
      <w:r>
        <w:rPr>
          <w:rFonts w:ascii="仿宋" w:hAnsi="仿宋" w:eastAsia="仿宋" w:cs="仿宋"/>
          <w:spacing w:val="7"/>
          <w:sz w:val="31"/>
          <w:szCs w:val="31"/>
          <w14:textOutline w14:w="5792" w14:cap="flat" w14:cmpd="sng">
            <w14:solidFill>
              <w14:srgbClr w14:val="000000"/>
            </w14:solidFill>
            <w14:prstDash w14:val="solid"/>
            <w14:miter w14:val="0"/>
          </w14:textOutline>
        </w:rPr>
        <w:t>）维护社会稳定</w:t>
      </w:r>
    </w:p>
    <w:p w14:paraId="0989AEF9">
      <w:pPr>
        <w:keepNext w:val="0"/>
        <w:keepLines w:val="0"/>
        <w:pageBreakBefore w:val="0"/>
        <w:widowControl/>
        <w:kinsoku w:val="0"/>
        <w:wordWrap/>
        <w:overflowPunct/>
        <w:topLinePunct w:val="0"/>
        <w:autoSpaceDE w:val="0"/>
        <w:autoSpaceDN w:val="0"/>
        <w:bidi w:val="0"/>
        <w:adjustRightInd w:val="0"/>
        <w:snapToGrid w:val="0"/>
        <w:spacing w:before="220" w:line="560" w:lineRule="exact"/>
        <w:ind w:left="17" w:right="89" w:firstLine="657"/>
        <w:jc w:val="both"/>
        <w:textAlignment w:val="baseline"/>
        <w:rPr>
          <w:rFonts w:hint="eastAsia" w:ascii="仿宋" w:hAnsi="仿宋" w:eastAsia="仿宋" w:cs="仿宋"/>
          <w:spacing w:val="6"/>
          <w:sz w:val="31"/>
          <w:szCs w:val="31"/>
        </w:rPr>
      </w:pPr>
      <w:r>
        <w:rPr>
          <w:rFonts w:hint="eastAsia" w:ascii="仿宋" w:hAnsi="仿宋" w:eastAsia="仿宋" w:cs="仿宋"/>
          <w:spacing w:val="6"/>
          <w:sz w:val="31"/>
          <w:szCs w:val="31"/>
        </w:rPr>
        <w:t>加强事故现场区域周边道路交通管制与受影响地区社会治安管理，严厉打击借机传播谣言制造社会恐慌、哄抢救灾物资等违法犯罪行为；加强转移人员安置点、救灾物资存放点等重点区域治安管控；做好受影响人员与涉事单位、相关地方人民政府及有关部门矛盾纠纷化解和法律服务工作，防止出现群体性事件，维护社会稳定。</w:t>
      </w:r>
    </w:p>
    <w:p w14:paraId="502A23B5">
      <w:pPr>
        <w:pStyle w:val="5"/>
        <w:keepNext w:val="0"/>
        <w:keepLines w:val="0"/>
        <w:pageBreakBefore w:val="0"/>
        <w:widowControl/>
        <w:kinsoku w:val="0"/>
        <w:wordWrap/>
        <w:overflowPunct/>
        <w:topLinePunct w:val="0"/>
        <w:autoSpaceDE w:val="0"/>
        <w:autoSpaceDN w:val="0"/>
        <w:bidi w:val="0"/>
        <w:adjustRightInd w:val="0"/>
        <w:snapToGrid w:val="0"/>
        <w:spacing w:before="209" w:line="560" w:lineRule="exact"/>
        <w:ind w:left="661"/>
        <w:textAlignment w:val="baseline"/>
        <w:rPr>
          <w:rFonts w:ascii="仿宋" w:hAnsi="仿宋" w:eastAsia="仿宋" w:cs="仿宋"/>
          <w:sz w:val="31"/>
          <w:szCs w:val="31"/>
        </w:rPr>
      </w:pPr>
      <w:r>
        <w:rPr>
          <w:rFonts w:ascii="仿宋" w:hAnsi="仿宋" w:eastAsia="仿宋" w:cs="仿宋"/>
          <w:spacing w:val="8"/>
          <w:sz w:val="31"/>
          <w:szCs w:val="31"/>
          <w14:textOutline w14:w="5792" w14:cap="flat" w14:cmpd="sng">
            <w14:solidFill>
              <w14:srgbClr w14:val="000000"/>
            </w14:solidFill>
            <w14:prstDash w14:val="solid"/>
            <w14:miter w14:val="0"/>
          </w14:textOutline>
        </w:rPr>
        <w:t>（</w:t>
      </w:r>
      <w:r>
        <w:rPr>
          <w:b/>
          <w:bCs/>
          <w:spacing w:val="8"/>
          <w:sz w:val="31"/>
          <w:szCs w:val="31"/>
        </w:rPr>
        <w:t>9</w:t>
      </w:r>
      <w:r>
        <w:rPr>
          <w:rFonts w:ascii="仿宋" w:hAnsi="仿宋" w:eastAsia="仿宋" w:cs="仿宋"/>
          <w:spacing w:val="8"/>
          <w:sz w:val="31"/>
          <w:szCs w:val="31"/>
          <w14:textOutline w14:w="5792" w14:cap="flat" w14:cmpd="sng">
            <w14:solidFill>
              <w14:srgbClr w14:val="000000"/>
            </w14:solidFill>
            <w14:prstDash w14:val="solid"/>
            <w14:miter w14:val="0"/>
          </w14:textOutline>
        </w:rPr>
        <w:t>）信息发布与舆情应对</w:t>
      </w:r>
    </w:p>
    <w:p w14:paraId="1DF41D91">
      <w:pPr>
        <w:pStyle w:val="5"/>
        <w:keepNext w:val="0"/>
        <w:keepLines w:val="0"/>
        <w:pageBreakBefore w:val="0"/>
        <w:widowControl/>
        <w:kinsoku w:val="0"/>
        <w:wordWrap/>
        <w:overflowPunct/>
        <w:topLinePunct w:val="0"/>
        <w:autoSpaceDE w:val="0"/>
        <w:autoSpaceDN w:val="0"/>
        <w:bidi w:val="0"/>
        <w:adjustRightInd w:val="0"/>
        <w:snapToGrid w:val="0"/>
        <w:spacing w:before="220" w:line="560" w:lineRule="exact"/>
        <w:ind w:left="672"/>
        <w:textAlignment w:val="baseline"/>
        <w:rPr>
          <w:rFonts w:ascii="仿宋" w:hAnsi="仿宋" w:eastAsia="仿宋" w:cs="仿宋"/>
          <w:sz w:val="31"/>
          <w:szCs w:val="31"/>
        </w:rPr>
      </w:pPr>
      <w:r>
        <w:rPr>
          <w:spacing w:val="4"/>
          <w:sz w:val="31"/>
          <w:szCs w:val="31"/>
        </w:rPr>
        <w:t>1</w:t>
      </w:r>
      <w:r>
        <w:rPr>
          <w:rFonts w:ascii="仿宋" w:hAnsi="仿宋" w:eastAsia="仿宋" w:cs="仿宋"/>
          <w:spacing w:val="4"/>
          <w:sz w:val="31"/>
          <w:szCs w:val="31"/>
        </w:rPr>
        <w:t>）信息发布机制</w:t>
      </w:r>
    </w:p>
    <w:p w14:paraId="3C624B3C">
      <w:pPr>
        <w:keepNext w:val="0"/>
        <w:keepLines w:val="0"/>
        <w:pageBreakBefore w:val="0"/>
        <w:widowControl/>
        <w:kinsoku w:val="0"/>
        <w:wordWrap/>
        <w:overflowPunct/>
        <w:topLinePunct w:val="0"/>
        <w:autoSpaceDE w:val="0"/>
        <w:autoSpaceDN w:val="0"/>
        <w:bidi w:val="0"/>
        <w:adjustRightInd w:val="0"/>
        <w:snapToGrid w:val="0"/>
        <w:spacing w:before="223" w:line="560" w:lineRule="exact"/>
        <w:ind w:right="60" w:firstLine="657"/>
        <w:textAlignment w:val="baseline"/>
        <w:rPr>
          <w:rFonts w:ascii="仿宋" w:hAnsi="仿宋" w:eastAsia="仿宋" w:cs="仿宋"/>
          <w:sz w:val="31"/>
          <w:szCs w:val="31"/>
        </w:rPr>
      </w:pPr>
      <w:r>
        <w:rPr>
          <w:rFonts w:ascii="仿宋" w:hAnsi="仿宋" w:eastAsia="仿宋" w:cs="仿宋"/>
          <w:spacing w:val="5"/>
          <w:sz w:val="31"/>
          <w:szCs w:val="31"/>
        </w:rPr>
        <w:t>较大突发环境事件信息由市应急指挥部统一发布；一般突发环</w:t>
      </w:r>
      <w:r>
        <w:rPr>
          <w:rFonts w:ascii="仿宋" w:hAnsi="仿宋" w:eastAsia="仿宋" w:cs="仿宋"/>
          <w:spacing w:val="7"/>
          <w:sz w:val="31"/>
          <w:szCs w:val="31"/>
        </w:rPr>
        <w:t>境事件信息由区人民政府统一发布。对于较为复杂的事件，可分阶段发布。重大、特别重大突发环境事件信息依照有关法律、</w:t>
      </w:r>
    </w:p>
    <w:p w14:paraId="4DAB4989">
      <w:pPr>
        <w:keepNext w:val="0"/>
        <w:keepLines w:val="0"/>
        <w:pageBreakBefore w:val="0"/>
        <w:widowControl/>
        <w:kinsoku w:val="0"/>
        <w:wordWrap/>
        <w:overflowPunct/>
        <w:topLinePunct w:val="0"/>
        <w:autoSpaceDE w:val="0"/>
        <w:autoSpaceDN w:val="0"/>
        <w:bidi w:val="0"/>
        <w:adjustRightInd w:val="0"/>
        <w:snapToGrid w:val="0"/>
        <w:spacing w:before="1" w:line="560" w:lineRule="exact"/>
        <w:ind w:left="18"/>
        <w:textAlignment w:val="baseline"/>
        <w:rPr>
          <w:rFonts w:ascii="仿宋" w:hAnsi="仿宋" w:eastAsia="仿宋" w:cs="仿宋"/>
          <w:sz w:val="31"/>
          <w:szCs w:val="31"/>
        </w:rPr>
      </w:pPr>
      <w:r>
        <w:rPr>
          <w:rFonts w:ascii="仿宋" w:hAnsi="仿宋" w:eastAsia="仿宋" w:cs="仿宋"/>
          <w:spacing w:val="7"/>
          <w:sz w:val="31"/>
          <w:szCs w:val="31"/>
        </w:rPr>
        <w:t>法规及应急预案等的规定发布。</w:t>
      </w:r>
    </w:p>
    <w:p w14:paraId="2CE89D31">
      <w:pPr>
        <w:keepNext w:val="0"/>
        <w:keepLines w:val="0"/>
        <w:pageBreakBefore w:val="0"/>
        <w:widowControl/>
        <w:kinsoku w:val="0"/>
        <w:wordWrap/>
        <w:overflowPunct/>
        <w:topLinePunct w:val="0"/>
        <w:autoSpaceDE w:val="0"/>
        <w:autoSpaceDN w:val="0"/>
        <w:bidi w:val="0"/>
        <w:adjustRightInd w:val="0"/>
        <w:snapToGrid w:val="0"/>
        <w:spacing w:before="232" w:line="560" w:lineRule="exact"/>
        <w:ind w:left="7" w:firstLine="648"/>
        <w:textAlignment w:val="baseline"/>
        <w:rPr>
          <w:rFonts w:hint="eastAsia" w:ascii="仿宋" w:hAnsi="仿宋" w:eastAsia="仿宋" w:cs="仿宋"/>
          <w:sz w:val="32"/>
          <w:szCs w:val="32"/>
        </w:rPr>
      </w:pPr>
      <w:r>
        <w:rPr>
          <w:rFonts w:ascii="仿宋" w:hAnsi="仿宋" w:eastAsia="仿宋" w:cs="仿宋"/>
          <w:spacing w:val="-2"/>
          <w:sz w:val="31"/>
          <w:szCs w:val="31"/>
        </w:rPr>
        <w:t>通过政府授权发布事件信息、接受记者采访</w:t>
      </w:r>
      <w:r>
        <w:rPr>
          <w:rFonts w:ascii="仿宋" w:hAnsi="仿宋" w:eastAsia="仿宋" w:cs="仿宋"/>
          <w:spacing w:val="-3"/>
          <w:sz w:val="31"/>
          <w:szCs w:val="31"/>
        </w:rPr>
        <w:t>、举行新闻发布会、</w:t>
      </w:r>
      <w:r>
        <w:rPr>
          <w:rFonts w:ascii="仿宋" w:hAnsi="仿宋" w:eastAsia="仿宋" w:cs="仿宋"/>
          <w:spacing w:val="6"/>
          <w:sz w:val="31"/>
          <w:szCs w:val="31"/>
        </w:rPr>
        <w:t>组织专家解读等方式，主动、及时、准确、客观地向社会发布突</w:t>
      </w:r>
      <w:r>
        <w:rPr>
          <w:rFonts w:hint="eastAsia" w:ascii="仿宋" w:hAnsi="仿宋" w:eastAsia="仿宋" w:cs="仿宋"/>
          <w:spacing w:val="6"/>
          <w:sz w:val="32"/>
          <w:szCs w:val="32"/>
        </w:rPr>
        <w:t>发</w:t>
      </w:r>
      <w:r>
        <w:rPr>
          <w:rFonts w:hint="eastAsia" w:ascii="仿宋" w:hAnsi="仿宋" w:eastAsia="仿宋" w:cs="仿宋"/>
          <w:spacing w:val="11"/>
          <w:sz w:val="32"/>
          <w:szCs w:val="32"/>
        </w:rPr>
        <w:t>环境事件和应对工作信息,回应社会关切，澄清不实信息，正确引</w:t>
      </w:r>
      <w:r>
        <w:rPr>
          <w:rFonts w:hint="eastAsia" w:ascii="仿宋" w:hAnsi="仿宋" w:eastAsia="仿宋" w:cs="仿宋"/>
          <w:spacing w:val="3"/>
          <w:sz w:val="32"/>
          <w:szCs w:val="32"/>
        </w:rPr>
        <w:t>导社会舆论。</w:t>
      </w:r>
    </w:p>
    <w:p w14:paraId="636E732C">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642"/>
        <w:textAlignment w:val="baseline"/>
        <w:rPr>
          <w:rFonts w:hint="eastAsia" w:ascii="仿宋" w:hAnsi="仿宋" w:eastAsia="仿宋" w:cs="仿宋"/>
          <w:sz w:val="32"/>
          <w:szCs w:val="32"/>
        </w:rPr>
      </w:pPr>
      <w:r>
        <w:rPr>
          <w:rFonts w:hint="eastAsia" w:ascii="仿宋" w:hAnsi="仿宋" w:eastAsia="仿宋" w:cs="仿宋"/>
          <w:spacing w:val="8"/>
          <w:sz w:val="32"/>
          <w:szCs w:val="32"/>
        </w:rPr>
        <w:t>2）信息发布内容</w:t>
      </w:r>
    </w:p>
    <w:p w14:paraId="34DA7D57">
      <w:pPr>
        <w:keepNext w:val="0"/>
        <w:keepLines w:val="0"/>
        <w:pageBreakBefore w:val="0"/>
        <w:widowControl/>
        <w:kinsoku w:val="0"/>
        <w:wordWrap/>
        <w:overflowPunct/>
        <w:topLinePunct w:val="0"/>
        <w:autoSpaceDE w:val="0"/>
        <w:autoSpaceDN w:val="0"/>
        <w:bidi w:val="0"/>
        <w:adjustRightInd w:val="0"/>
        <w:snapToGrid w:val="0"/>
        <w:spacing w:before="224" w:line="560" w:lineRule="exact"/>
        <w:ind w:left="24" w:right="2" w:firstLine="613"/>
        <w:textAlignment w:val="baseline"/>
        <w:rPr>
          <w:rFonts w:hint="eastAsia" w:ascii="仿宋" w:hAnsi="仿宋" w:eastAsia="仿宋" w:cs="仿宋"/>
          <w:sz w:val="32"/>
          <w:szCs w:val="32"/>
        </w:rPr>
      </w:pPr>
      <w:r>
        <w:rPr>
          <w:rFonts w:hint="eastAsia" w:ascii="仿宋" w:hAnsi="仿宋" w:eastAsia="仿宋" w:cs="仿宋"/>
          <w:spacing w:val="-2"/>
          <w:sz w:val="32"/>
          <w:szCs w:val="32"/>
        </w:rPr>
        <w:t>信息发布内容包括事件原因、污染程度、影响范围、应对措施、</w:t>
      </w:r>
      <w:r>
        <w:rPr>
          <w:rFonts w:hint="eastAsia" w:ascii="仿宋" w:hAnsi="仿宋" w:eastAsia="仿宋" w:cs="仿宋"/>
          <w:spacing w:val="5"/>
          <w:sz w:val="32"/>
          <w:szCs w:val="32"/>
        </w:rPr>
        <w:t>需要公众配合采取的措施、公众防范常识和事件调查处理进展情况</w:t>
      </w:r>
      <w:r>
        <w:rPr>
          <w:rFonts w:hint="eastAsia" w:ascii="仿宋" w:hAnsi="仿宋" w:eastAsia="仿宋" w:cs="仿宋"/>
          <w:spacing w:val="-10"/>
          <w:sz w:val="32"/>
          <w:szCs w:val="32"/>
        </w:rPr>
        <w:t>等。</w:t>
      </w:r>
    </w:p>
    <w:p w14:paraId="6DACA849">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仿宋" w:hAnsi="仿宋" w:eastAsia="仿宋" w:cs="仿宋"/>
          <w:sz w:val="32"/>
          <w:szCs w:val="32"/>
        </w:rPr>
      </w:pPr>
      <w:r>
        <w:rPr>
          <w:rFonts w:hint="eastAsia" w:ascii="仿宋" w:hAnsi="仿宋" w:eastAsia="仿宋" w:cs="仿宋"/>
          <w:spacing w:val="6"/>
          <w:sz w:val="32"/>
          <w:szCs w:val="32"/>
        </w:rPr>
        <w:t>3）舆情应对</w:t>
      </w:r>
    </w:p>
    <w:p w14:paraId="5F75DD31">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34"/>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加强突发环境事件舆情收集、研判和报告，把政务新媒体作为</w:t>
      </w:r>
      <w:r>
        <w:rPr>
          <w:rFonts w:hint="eastAsia" w:ascii="仿宋" w:hAnsi="仿宋" w:eastAsia="仿宋" w:cs="仿宋"/>
          <w:spacing w:val="6"/>
          <w:sz w:val="32"/>
          <w:szCs w:val="32"/>
        </w:rPr>
        <w:t>突发事件舆情收集、回应、引导的重要平台。信息发布</w:t>
      </w:r>
      <w:r>
        <w:rPr>
          <w:rFonts w:hint="eastAsia" w:ascii="仿宋" w:hAnsi="仿宋" w:eastAsia="仿宋" w:cs="仿宋"/>
          <w:spacing w:val="5"/>
          <w:sz w:val="32"/>
          <w:szCs w:val="32"/>
        </w:rPr>
        <w:t>要与事件处</w:t>
      </w:r>
      <w:r>
        <w:rPr>
          <w:rFonts w:hint="eastAsia" w:ascii="仿宋" w:hAnsi="仿宋" w:eastAsia="仿宋" w:cs="仿宋"/>
          <w:spacing w:val="6"/>
          <w:sz w:val="32"/>
          <w:szCs w:val="32"/>
        </w:rPr>
        <w:t>置同步进行，根据舆情传播不同节点，主动、及时、准确、客</w:t>
      </w:r>
      <w:r>
        <w:rPr>
          <w:rFonts w:hint="eastAsia" w:ascii="仿宋" w:hAnsi="仿宋" w:eastAsia="仿宋" w:cs="仿宋"/>
          <w:spacing w:val="5"/>
          <w:sz w:val="32"/>
          <w:szCs w:val="32"/>
        </w:rPr>
        <w:t>观向</w:t>
      </w:r>
      <w:r>
        <w:rPr>
          <w:rFonts w:hint="eastAsia" w:ascii="仿宋" w:hAnsi="仿宋" w:eastAsia="仿宋" w:cs="仿宋"/>
          <w:spacing w:val="6"/>
          <w:sz w:val="32"/>
          <w:szCs w:val="32"/>
        </w:rPr>
        <w:t>社会滚动发布事件或舆情处置进展的权威信息，回应社</w:t>
      </w:r>
      <w:r>
        <w:rPr>
          <w:rFonts w:hint="eastAsia" w:ascii="仿宋" w:hAnsi="仿宋" w:eastAsia="仿宋" w:cs="仿宋"/>
          <w:spacing w:val="5"/>
          <w:sz w:val="32"/>
          <w:szCs w:val="32"/>
        </w:rPr>
        <w:t>会关切，澄</w:t>
      </w:r>
      <w:r>
        <w:rPr>
          <w:rFonts w:hint="eastAsia" w:ascii="仿宋" w:hAnsi="仿宋" w:eastAsia="仿宋" w:cs="仿宋"/>
          <w:spacing w:val="6"/>
          <w:sz w:val="32"/>
          <w:szCs w:val="32"/>
        </w:rPr>
        <w:t>清不实信息，正确引导社会舆论，防止出现信息真空导</w:t>
      </w:r>
      <w:r>
        <w:rPr>
          <w:rFonts w:hint="eastAsia" w:ascii="仿宋" w:hAnsi="仿宋" w:eastAsia="仿宋" w:cs="仿宋"/>
          <w:spacing w:val="5"/>
          <w:sz w:val="32"/>
          <w:szCs w:val="32"/>
        </w:rPr>
        <w:t>致舆情发酵</w:t>
      </w:r>
      <w:r>
        <w:rPr>
          <w:rFonts w:hint="eastAsia" w:ascii="仿宋" w:hAnsi="仿宋" w:eastAsia="仿宋" w:cs="仿宋"/>
          <w:spacing w:val="-1"/>
          <w:sz w:val="32"/>
          <w:szCs w:val="32"/>
        </w:rPr>
        <w:t>升级。</w:t>
      </w:r>
    </w:p>
    <w:p w14:paraId="3BB66C6C">
      <w:pPr>
        <w:pStyle w:val="4"/>
        <w:bidi w:val="0"/>
      </w:pPr>
      <w:bookmarkStart w:id="23" w:name="_Toc23605"/>
      <w:r>
        <w:t>4.社会动员</w:t>
      </w:r>
      <w:bookmarkEnd w:id="23"/>
    </w:p>
    <w:p w14:paraId="2037DF1B">
      <w:pPr>
        <w:keepNext w:val="0"/>
        <w:keepLines w:val="0"/>
        <w:pageBreakBefore w:val="0"/>
        <w:widowControl/>
        <w:kinsoku w:val="0"/>
        <w:wordWrap/>
        <w:overflowPunct/>
        <w:topLinePunct w:val="0"/>
        <w:autoSpaceDE w:val="0"/>
        <w:autoSpaceDN w:val="0"/>
        <w:bidi w:val="0"/>
        <w:adjustRightInd w:val="0"/>
        <w:snapToGrid w:val="0"/>
        <w:spacing w:before="226" w:line="560" w:lineRule="exact"/>
        <w:ind w:left="11" w:right="2" w:firstLine="619"/>
        <w:jc w:val="both"/>
        <w:textAlignment w:val="baseline"/>
        <w:rPr>
          <w:rFonts w:ascii="仿宋" w:hAnsi="仿宋" w:eastAsia="仿宋" w:cs="仿宋"/>
          <w:sz w:val="32"/>
          <w:szCs w:val="32"/>
        </w:rPr>
      </w:pPr>
      <w:r>
        <w:rPr>
          <w:rFonts w:ascii="仿宋" w:hAnsi="仿宋" w:eastAsia="仿宋" w:cs="仿宋"/>
          <w:spacing w:val="11"/>
          <w:sz w:val="32"/>
          <w:szCs w:val="32"/>
        </w:rPr>
        <w:t>根据突发环境事件的性质、危害程度和范围,必要时可广泛调</w:t>
      </w:r>
      <w:r>
        <w:rPr>
          <w:rFonts w:ascii="仿宋" w:hAnsi="仿宋" w:eastAsia="仿宋" w:cs="仿宋"/>
          <w:spacing w:val="5"/>
          <w:sz w:val="32"/>
          <w:szCs w:val="32"/>
        </w:rPr>
        <w:t>动社会力量参与突发环境事件处置，紧急情况下可依法征用、调用</w:t>
      </w:r>
      <w:r>
        <w:rPr>
          <w:rFonts w:ascii="仿宋" w:hAnsi="仿宋" w:eastAsia="仿宋" w:cs="仿宋"/>
          <w:spacing w:val="6"/>
          <w:sz w:val="32"/>
          <w:szCs w:val="32"/>
        </w:rPr>
        <w:t>车辆、物资、人员等。</w:t>
      </w:r>
    </w:p>
    <w:p w14:paraId="3A12EB5E">
      <w:pPr>
        <w:keepNext w:val="0"/>
        <w:keepLines w:val="0"/>
        <w:pageBreakBefore w:val="0"/>
        <w:widowControl/>
        <w:kinsoku w:val="0"/>
        <w:wordWrap/>
        <w:overflowPunct/>
        <w:topLinePunct w:val="0"/>
        <w:autoSpaceDE w:val="0"/>
        <w:autoSpaceDN w:val="0"/>
        <w:bidi w:val="0"/>
        <w:adjustRightInd w:val="0"/>
        <w:snapToGrid w:val="0"/>
        <w:spacing w:before="232" w:line="560" w:lineRule="exact"/>
        <w:ind w:left="2" w:right="2" w:firstLine="635"/>
        <w:jc w:val="both"/>
        <w:textAlignment w:val="baseline"/>
        <w:rPr>
          <w:rFonts w:ascii="仿宋" w:hAnsi="仿宋" w:eastAsia="仿宋" w:cs="仿宋"/>
          <w:sz w:val="32"/>
          <w:szCs w:val="32"/>
        </w:rPr>
      </w:pPr>
      <w:r>
        <w:rPr>
          <w:rFonts w:ascii="仿宋" w:hAnsi="仿宋" w:eastAsia="仿宋" w:cs="仿宋"/>
          <w:spacing w:val="5"/>
          <w:sz w:val="32"/>
          <w:szCs w:val="32"/>
        </w:rPr>
        <w:t>鼓励公民、法人和其他社会组织按照有关法律法规的规定进行</w:t>
      </w:r>
      <w:r>
        <w:rPr>
          <w:rFonts w:ascii="仿宋" w:hAnsi="仿宋" w:eastAsia="仿宋" w:cs="仿宋"/>
          <w:spacing w:val="6"/>
          <w:sz w:val="32"/>
          <w:szCs w:val="32"/>
        </w:rPr>
        <w:t>捐赠和援助。审计、监察部门对捐赠资金与物资的</w:t>
      </w:r>
      <w:r>
        <w:rPr>
          <w:rFonts w:ascii="仿宋" w:hAnsi="仿宋" w:eastAsia="仿宋" w:cs="仿宋"/>
          <w:spacing w:val="5"/>
          <w:sz w:val="32"/>
          <w:szCs w:val="32"/>
        </w:rPr>
        <w:t>使用情况进行审</w:t>
      </w:r>
      <w:r>
        <w:rPr>
          <w:rFonts w:ascii="仿宋" w:hAnsi="仿宋" w:eastAsia="仿宋" w:cs="仿宋"/>
          <w:spacing w:val="3"/>
          <w:sz w:val="32"/>
          <w:szCs w:val="32"/>
        </w:rPr>
        <w:t>计和监督。</w:t>
      </w:r>
    </w:p>
    <w:p w14:paraId="6DEF136C">
      <w:pPr>
        <w:pStyle w:val="4"/>
        <w:bidi w:val="0"/>
        <w:rPr>
          <w:rFonts w:ascii="仿宋" w:hAnsi="仿宋" w:eastAsia="仿宋" w:cs="仿宋"/>
          <w:szCs w:val="31"/>
        </w:rPr>
      </w:pPr>
      <w:bookmarkStart w:id="24" w:name="_Toc1562"/>
      <w:r>
        <w:t>5.响应结束</w:t>
      </w:r>
      <w:bookmarkEnd w:id="24"/>
    </w:p>
    <w:p w14:paraId="10FEA754">
      <w:pPr>
        <w:keepNext w:val="0"/>
        <w:keepLines w:val="0"/>
        <w:pageBreakBefore w:val="0"/>
        <w:widowControl/>
        <w:kinsoku w:val="0"/>
        <w:wordWrap/>
        <w:overflowPunct/>
        <w:topLinePunct w:val="0"/>
        <w:autoSpaceDE w:val="0"/>
        <w:autoSpaceDN w:val="0"/>
        <w:bidi w:val="0"/>
        <w:adjustRightInd w:val="0"/>
        <w:snapToGrid w:val="0"/>
        <w:spacing w:before="231" w:line="560" w:lineRule="exact"/>
        <w:ind w:left="14" w:right="4" w:firstLine="627"/>
        <w:jc w:val="both"/>
        <w:textAlignment w:val="baseline"/>
        <w:rPr>
          <w:rFonts w:ascii="楷体" w:hAnsi="楷体" w:eastAsia="楷体" w:cs="楷体"/>
          <w:spacing w:val="10"/>
          <w:sz w:val="31"/>
          <w:szCs w:val="31"/>
          <w14:textOutline w14:w="5792" w14:cap="flat" w14:cmpd="sng">
            <w14:solidFill>
              <w14:srgbClr w14:val="000000"/>
            </w14:solidFill>
            <w14:prstDash w14:val="solid"/>
            <w14:miter w14:val="0"/>
          </w14:textOutline>
        </w:rPr>
      </w:pPr>
      <w:r>
        <w:rPr>
          <w:rFonts w:ascii="仿宋" w:hAnsi="仿宋" w:eastAsia="仿宋" w:cs="仿宋"/>
          <w:spacing w:val="11"/>
          <w:sz w:val="32"/>
          <w:szCs w:val="32"/>
        </w:rPr>
        <w:t>经研判满足响应结束条件,或者相关威胁和危害得到控制、消</w:t>
      </w:r>
      <w:r>
        <w:rPr>
          <w:rFonts w:ascii="仿宋" w:hAnsi="仿宋" w:eastAsia="仿宋" w:cs="仿宋"/>
          <w:spacing w:val="10"/>
          <w:sz w:val="32"/>
          <w:szCs w:val="32"/>
        </w:rPr>
        <w:t>除的,决定启动应急响应的单位可宣布响应结束，逐步停止有关应</w:t>
      </w:r>
      <w:r>
        <w:rPr>
          <w:rFonts w:ascii="仿宋" w:hAnsi="仿宋" w:eastAsia="仿宋" w:cs="仿宋"/>
          <w:spacing w:val="8"/>
          <w:sz w:val="32"/>
          <w:szCs w:val="32"/>
        </w:rPr>
        <w:t>急措施，有序撤离应急力量和工作人员，并做好后续相关工作。</w:t>
      </w:r>
    </w:p>
    <w:p w14:paraId="5A7C7AC1">
      <w:pPr>
        <w:pStyle w:val="3"/>
        <w:bidi w:val="0"/>
        <w:rPr>
          <w:rFonts w:ascii="楷体" w:hAnsi="楷体" w:eastAsia="楷体" w:cs="楷体"/>
          <w:szCs w:val="31"/>
        </w:rPr>
      </w:pPr>
      <w:bookmarkStart w:id="25" w:name="_Toc29311"/>
      <w:r>
        <w:t>（四）后期工作</w:t>
      </w:r>
      <w:bookmarkEnd w:id="25"/>
    </w:p>
    <w:p w14:paraId="735C8E8D">
      <w:pPr>
        <w:pStyle w:val="4"/>
        <w:bidi w:val="0"/>
      </w:pPr>
      <w:bookmarkStart w:id="26" w:name="_Toc16778"/>
      <w:r>
        <w:t>1.损害评估和事件调查</w:t>
      </w:r>
      <w:bookmarkEnd w:id="26"/>
    </w:p>
    <w:p w14:paraId="34974D27">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95" w:firstLine="659"/>
        <w:jc w:val="both"/>
        <w:textAlignment w:val="baseline"/>
        <w:rPr>
          <w:rFonts w:ascii="仿宋" w:hAnsi="仿宋" w:eastAsia="仿宋" w:cs="仿宋"/>
          <w:sz w:val="32"/>
          <w:szCs w:val="32"/>
        </w:rPr>
      </w:pPr>
      <w:r>
        <w:rPr>
          <w:rFonts w:ascii="仿宋" w:hAnsi="仿宋" w:eastAsia="仿宋" w:cs="仿宋"/>
          <w:spacing w:val="5"/>
          <w:sz w:val="32"/>
          <w:szCs w:val="32"/>
        </w:rPr>
        <w:t>突发环境事件应急响应结束后，生态环境部门要及时组织开展</w:t>
      </w:r>
      <w:r>
        <w:rPr>
          <w:rFonts w:ascii="仿宋" w:hAnsi="仿宋" w:eastAsia="仿宋" w:cs="仿宋"/>
          <w:spacing w:val="6"/>
          <w:sz w:val="32"/>
          <w:szCs w:val="32"/>
        </w:rPr>
        <w:t>事件总结，查明突发环境事件的发生经过和原因，评估突发环境事件应急处置工作的成效，总结事件经验教训，完善环境应急长效机</w:t>
      </w:r>
    </w:p>
    <w:p w14:paraId="396983BA">
      <w:pPr>
        <w:keepNext w:val="0"/>
        <w:keepLines w:val="0"/>
        <w:pageBreakBefore w:val="0"/>
        <w:widowControl/>
        <w:kinsoku w:val="0"/>
        <w:wordWrap/>
        <w:overflowPunct/>
        <w:topLinePunct w:val="0"/>
        <w:autoSpaceDE w:val="0"/>
        <w:autoSpaceDN w:val="0"/>
        <w:bidi w:val="0"/>
        <w:adjustRightInd w:val="0"/>
        <w:snapToGrid w:val="0"/>
        <w:spacing w:before="1" w:line="560" w:lineRule="exact"/>
        <w:ind w:left="13"/>
        <w:textAlignment w:val="baseline"/>
        <w:rPr>
          <w:rFonts w:ascii="仿宋" w:hAnsi="仿宋" w:eastAsia="仿宋" w:cs="仿宋"/>
          <w:sz w:val="32"/>
          <w:szCs w:val="32"/>
        </w:rPr>
      </w:pPr>
      <w:r>
        <w:rPr>
          <w:rFonts w:ascii="仿宋" w:hAnsi="仿宋" w:eastAsia="仿宋" w:cs="仿宋"/>
          <w:spacing w:val="-7"/>
          <w:sz w:val="32"/>
          <w:szCs w:val="32"/>
        </w:rPr>
        <w:t>制。</w:t>
      </w:r>
    </w:p>
    <w:p w14:paraId="32FFC42B">
      <w:pPr>
        <w:keepNext w:val="0"/>
        <w:keepLines w:val="0"/>
        <w:pageBreakBefore w:val="0"/>
        <w:widowControl/>
        <w:kinsoku w:val="0"/>
        <w:wordWrap/>
        <w:overflowPunct/>
        <w:topLinePunct w:val="0"/>
        <w:autoSpaceDE w:val="0"/>
        <w:autoSpaceDN w:val="0"/>
        <w:bidi w:val="0"/>
        <w:adjustRightInd w:val="0"/>
        <w:snapToGrid w:val="0"/>
        <w:spacing w:before="230" w:line="560" w:lineRule="exact"/>
        <w:ind w:left="3" w:firstLine="655"/>
        <w:jc w:val="both"/>
        <w:textAlignment w:val="baseline"/>
        <w:rPr>
          <w:rFonts w:ascii="仿宋" w:hAnsi="仿宋" w:eastAsia="仿宋" w:cs="仿宋"/>
          <w:sz w:val="32"/>
          <w:szCs w:val="32"/>
        </w:rPr>
      </w:pPr>
      <w:r>
        <w:rPr>
          <w:rFonts w:ascii="仿宋" w:hAnsi="仿宋" w:eastAsia="仿宋" w:cs="仿宋"/>
          <w:spacing w:val="5"/>
          <w:sz w:val="32"/>
          <w:szCs w:val="32"/>
        </w:rPr>
        <w:t>突发环境事件应急响应结束后，生态环境部门应当在本级人民</w:t>
      </w:r>
      <w:r>
        <w:rPr>
          <w:rFonts w:ascii="仿宋" w:hAnsi="仿宋" w:eastAsia="仿宋" w:cs="仿宋"/>
          <w:spacing w:val="6"/>
          <w:sz w:val="32"/>
          <w:szCs w:val="32"/>
        </w:rPr>
        <w:t>政府的统一部署下，按照生态环境部相关工作程序规定组织开展生</w:t>
      </w:r>
      <w:r>
        <w:rPr>
          <w:rFonts w:ascii="仿宋" w:hAnsi="仿宋" w:eastAsia="仿宋" w:cs="仿宋"/>
          <w:spacing w:val="11"/>
          <w:sz w:val="32"/>
          <w:szCs w:val="32"/>
        </w:rPr>
        <w:t>态环境损害鉴定评估,将评估报告报送同级人民政府和上一级生态</w:t>
      </w:r>
      <w:r>
        <w:rPr>
          <w:rFonts w:ascii="仿宋" w:hAnsi="仿宋" w:eastAsia="仿宋" w:cs="仿宋"/>
          <w:spacing w:val="4"/>
          <w:sz w:val="32"/>
          <w:szCs w:val="32"/>
        </w:rPr>
        <w:t>环境部门,并向社会公开评估结论。评估结论应作为事件调</w:t>
      </w:r>
      <w:r>
        <w:rPr>
          <w:rFonts w:ascii="仿宋" w:hAnsi="仿宋" w:eastAsia="仿宋" w:cs="仿宋"/>
          <w:spacing w:val="3"/>
          <w:sz w:val="32"/>
          <w:szCs w:val="32"/>
        </w:rPr>
        <w:t>查处理、</w:t>
      </w:r>
      <w:r>
        <w:rPr>
          <w:rFonts w:ascii="仿宋" w:hAnsi="仿宋" w:eastAsia="仿宋" w:cs="仿宋"/>
          <w:spacing w:val="6"/>
          <w:sz w:val="32"/>
          <w:szCs w:val="32"/>
        </w:rPr>
        <w:t>环境修复和生态恢复重建的依据。突发环境事件损害评估方法按照生态环境部的相关规定执行。突发环境事件的生态环境损害赔偿按</w:t>
      </w:r>
      <w:r>
        <w:rPr>
          <w:rFonts w:ascii="仿宋" w:hAnsi="仿宋" w:eastAsia="仿宋" w:cs="仿宋"/>
          <w:spacing w:val="7"/>
          <w:sz w:val="32"/>
          <w:szCs w:val="32"/>
        </w:rPr>
        <w:t>照国家、省、市相关办法和规定执行。</w:t>
      </w:r>
    </w:p>
    <w:p w14:paraId="299AD0E6">
      <w:pPr>
        <w:keepNext w:val="0"/>
        <w:keepLines w:val="0"/>
        <w:pageBreakBefore w:val="0"/>
        <w:widowControl/>
        <w:kinsoku w:val="0"/>
        <w:wordWrap/>
        <w:overflowPunct/>
        <w:topLinePunct w:val="0"/>
        <w:autoSpaceDE w:val="0"/>
        <w:autoSpaceDN w:val="0"/>
        <w:bidi w:val="0"/>
        <w:adjustRightInd w:val="0"/>
        <w:snapToGrid w:val="0"/>
        <w:spacing w:before="231" w:line="560" w:lineRule="exact"/>
        <w:ind w:right="95" w:firstLine="664"/>
        <w:jc w:val="both"/>
        <w:textAlignment w:val="baseline"/>
        <w:rPr>
          <w:rFonts w:ascii="仿宋" w:hAnsi="仿宋" w:eastAsia="仿宋" w:cs="仿宋"/>
          <w:sz w:val="32"/>
          <w:szCs w:val="32"/>
        </w:rPr>
      </w:pPr>
      <w:r>
        <w:rPr>
          <w:rFonts w:ascii="仿宋" w:hAnsi="仿宋" w:eastAsia="仿宋" w:cs="仿宋"/>
          <w:spacing w:val="23"/>
          <w:sz w:val="32"/>
          <w:szCs w:val="32"/>
        </w:rPr>
        <w:t>生态环境部门视情况组织一般突发环境事件的调查处理,及</w:t>
      </w:r>
      <w:r>
        <w:rPr>
          <w:rFonts w:ascii="仿宋" w:hAnsi="仿宋" w:eastAsia="仿宋" w:cs="仿宋"/>
          <w:spacing w:val="6"/>
          <w:sz w:val="32"/>
          <w:szCs w:val="32"/>
        </w:rPr>
        <w:t>时、准确查明事件原因，确认事件性质，认定事件责任，总结事件经验教训，提出防范和整改措施建议以及处理意见。调查报告要报</w:t>
      </w:r>
      <w:r>
        <w:rPr>
          <w:rFonts w:ascii="仿宋" w:hAnsi="仿宋" w:eastAsia="仿宋" w:cs="仿宋"/>
          <w:spacing w:val="11"/>
          <w:sz w:val="32"/>
          <w:szCs w:val="32"/>
        </w:rPr>
        <w:t>送同级人民政府和上级生态环境部门,并依法向社会公开调查结论</w:t>
      </w:r>
      <w:r>
        <w:rPr>
          <w:rFonts w:ascii="仿宋" w:hAnsi="仿宋" w:eastAsia="仿宋" w:cs="仿宋"/>
          <w:spacing w:val="6"/>
          <w:sz w:val="32"/>
          <w:szCs w:val="32"/>
        </w:rPr>
        <w:t>相关信息。在调查中发现涉嫌违犯党纪、职务违法和职务犯罪的问</w:t>
      </w:r>
      <w:r>
        <w:rPr>
          <w:rFonts w:ascii="仿宋" w:hAnsi="仿宋" w:eastAsia="仿宋" w:cs="仿宋"/>
          <w:spacing w:val="15"/>
          <w:sz w:val="32"/>
          <w:szCs w:val="32"/>
        </w:rPr>
        <w:t>题线索,应当及时移送纪检监察机关,由纪</w:t>
      </w:r>
      <w:r>
        <w:rPr>
          <w:rFonts w:ascii="仿宋" w:hAnsi="仿宋" w:eastAsia="仿宋" w:cs="仿宋"/>
          <w:spacing w:val="14"/>
          <w:sz w:val="32"/>
          <w:szCs w:val="32"/>
        </w:rPr>
        <w:t>检监察机关依规依纪依</w:t>
      </w:r>
      <w:r>
        <w:rPr>
          <w:rFonts w:ascii="仿宋" w:hAnsi="仿宋" w:eastAsia="仿宋" w:cs="仿宋"/>
          <w:spacing w:val="1"/>
          <w:sz w:val="32"/>
          <w:szCs w:val="32"/>
        </w:rPr>
        <w:t>法处理。</w:t>
      </w:r>
    </w:p>
    <w:p w14:paraId="7FBF5D2D">
      <w:pPr>
        <w:pStyle w:val="4"/>
        <w:bidi w:val="0"/>
        <w:rPr>
          <w:rFonts w:ascii="仿宋" w:hAnsi="仿宋" w:eastAsia="仿宋" w:cs="仿宋"/>
          <w:szCs w:val="31"/>
        </w:rPr>
      </w:pPr>
      <w:bookmarkStart w:id="27" w:name="_Toc24681"/>
      <w:r>
        <w:t>2.善后处置</w:t>
      </w:r>
      <w:bookmarkEnd w:id="27"/>
    </w:p>
    <w:p w14:paraId="6C4A86DE">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1" w:right="100" w:firstLine="651"/>
        <w:jc w:val="both"/>
        <w:textAlignment w:val="baseline"/>
        <w:rPr>
          <w:rFonts w:ascii="仿宋" w:hAnsi="仿宋" w:eastAsia="仿宋" w:cs="仿宋"/>
          <w:sz w:val="32"/>
          <w:szCs w:val="32"/>
        </w:rPr>
      </w:pPr>
      <w:r>
        <w:rPr>
          <w:rFonts w:ascii="仿宋" w:hAnsi="仿宋" w:eastAsia="仿宋" w:cs="仿宋"/>
          <w:spacing w:val="5"/>
          <w:sz w:val="32"/>
          <w:szCs w:val="32"/>
        </w:rPr>
        <w:t>突发环境事件应急工作结束后，事发地人民政府要及时组织制</w:t>
      </w:r>
      <w:r>
        <w:rPr>
          <w:rFonts w:ascii="仿宋" w:hAnsi="仿宋" w:eastAsia="仿宋" w:cs="仿宋"/>
          <w:spacing w:val="6"/>
          <w:sz w:val="32"/>
          <w:szCs w:val="32"/>
        </w:rPr>
        <w:t>定补助、补偿、抚慰、抚恤、安置、现场恢复、环境修</w:t>
      </w:r>
      <w:r>
        <w:rPr>
          <w:rFonts w:ascii="仿宋" w:hAnsi="仿宋" w:eastAsia="仿宋" w:cs="仿宋"/>
          <w:spacing w:val="5"/>
          <w:sz w:val="32"/>
          <w:szCs w:val="32"/>
        </w:rPr>
        <w:t>复和生态重</w:t>
      </w:r>
      <w:r>
        <w:rPr>
          <w:rFonts w:ascii="仿宋" w:hAnsi="仿宋" w:eastAsia="仿宋" w:cs="仿宋"/>
          <w:spacing w:val="8"/>
          <w:sz w:val="32"/>
          <w:szCs w:val="32"/>
        </w:rPr>
        <w:t>建等善后工作方案并组织实施。</w:t>
      </w:r>
    </w:p>
    <w:p w14:paraId="63624F20">
      <w:pPr>
        <w:keepNext w:val="0"/>
        <w:keepLines w:val="0"/>
        <w:pageBreakBefore w:val="0"/>
        <w:widowControl/>
        <w:kinsoku w:val="0"/>
        <w:wordWrap/>
        <w:overflowPunct/>
        <w:topLinePunct w:val="0"/>
        <w:autoSpaceDE w:val="0"/>
        <w:autoSpaceDN w:val="0"/>
        <w:bidi w:val="0"/>
        <w:adjustRightInd w:val="0"/>
        <w:snapToGrid w:val="0"/>
        <w:spacing w:before="231" w:line="560" w:lineRule="exact"/>
        <w:ind w:firstLine="641"/>
        <w:jc w:val="both"/>
        <w:textAlignment w:val="baseline"/>
        <w:rPr>
          <w:rFonts w:ascii="仿宋" w:hAnsi="仿宋" w:eastAsia="仿宋" w:cs="仿宋"/>
          <w:sz w:val="31"/>
          <w:szCs w:val="31"/>
        </w:rPr>
      </w:pPr>
      <w:r>
        <w:rPr>
          <w:rFonts w:ascii="仿宋" w:hAnsi="仿宋" w:eastAsia="仿宋" w:cs="仿宋"/>
          <w:spacing w:val="6"/>
          <w:sz w:val="32"/>
          <w:szCs w:val="32"/>
        </w:rPr>
        <w:t>征用防治污染设施、设备、器材以及其他物资等财产，要按照《广东省突发事件应对条例》及时返还；财产被征用或者征用后毁</w:t>
      </w:r>
      <w:r>
        <w:rPr>
          <w:rFonts w:ascii="仿宋" w:hAnsi="仿宋" w:eastAsia="仿宋" w:cs="仿宋"/>
          <w:spacing w:val="-1"/>
          <w:sz w:val="32"/>
          <w:szCs w:val="32"/>
        </w:rPr>
        <w:t>损、灭失的，实施征用的区（县）级以上人民政府要按照国家、省、</w:t>
      </w:r>
      <w:r>
        <w:rPr>
          <w:rFonts w:ascii="仿宋" w:hAnsi="仿宋" w:eastAsia="仿宋" w:cs="仿宋"/>
          <w:spacing w:val="8"/>
          <w:sz w:val="32"/>
          <w:szCs w:val="32"/>
        </w:rPr>
        <w:t>市的有关规定给予补偿。保险机构要及时开展相关理赔工作。</w:t>
      </w:r>
    </w:p>
    <w:p w14:paraId="43A4C19E">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Arial" w:hAnsi="Arial"/>
          <w:b/>
        </w:rPr>
      </w:pPr>
      <w:bookmarkStart w:id="28" w:name="_Toc17849"/>
      <w:r>
        <w:rPr>
          <w:rFonts w:ascii="Arial" w:hAnsi="Arial"/>
          <w:b/>
        </w:rPr>
        <w:t>四、应急保障</w:t>
      </w:r>
      <w:bookmarkEnd w:id="28"/>
    </w:p>
    <w:p w14:paraId="60B9C4A7">
      <w:pPr>
        <w:pStyle w:val="3"/>
        <w:bidi w:val="0"/>
      </w:pPr>
      <w:bookmarkStart w:id="29" w:name="_Toc24111"/>
      <w:r>
        <w:t>（一）救援队伍保障</w:t>
      </w:r>
      <w:bookmarkEnd w:id="29"/>
    </w:p>
    <w:p w14:paraId="3F2DF721">
      <w:pPr>
        <w:keepNext w:val="0"/>
        <w:keepLines w:val="0"/>
        <w:pageBreakBefore w:val="0"/>
        <w:widowControl/>
        <w:kinsoku w:val="0"/>
        <w:wordWrap/>
        <w:overflowPunct/>
        <w:topLinePunct w:val="0"/>
        <w:autoSpaceDE w:val="0"/>
        <w:autoSpaceDN w:val="0"/>
        <w:bidi w:val="0"/>
        <w:adjustRightInd w:val="0"/>
        <w:snapToGrid w:val="0"/>
        <w:spacing w:before="230" w:line="560" w:lineRule="exact"/>
        <w:ind w:left="5" w:right="95" w:firstLine="663"/>
        <w:jc w:val="both"/>
        <w:textAlignment w:val="baseline"/>
        <w:rPr>
          <w:rFonts w:ascii="仿宋" w:hAnsi="仿宋" w:eastAsia="仿宋" w:cs="仿宋"/>
          <w:spacing w:val="-5"/>
          <w:sz w:val="32"/>
          <w:szCs w:val="32"/>
        </w:rPr>
      </w:pPr>
      <w:r>
        <w:rPr>
          <w:rFonts w:ascii="仿宋" w:hAnsi="仿宋" w:eastAsia="仿宋" w:cs="仿宋"/>
          <w:spacing w:val="5"/>
          <w:sz w:val="31"/>
          <w:szCs w:val="31"/>
        </w:rPr>
        <w:t>生态环境部门要加强专业应急救援队伍建设；依托应急</w:t>
      </w:r>
      <w:r>
        <w:rPr>
          <w:rFonts w:ascii="仿宋" w:hAnsi="仿宋" w:eastAsia="仿宋" w:cs="仿宋"/>
          <w:spacing w:val="4"/>
          <w:sz w:val="31"/>
          <w:szCs w:val="31"/>
        </w:rPr>
        <w:t>管理队</w:t>
      </w:r>
      <w:r>
        <w:rPr>
          <w:rFonts w:ascii="仿宋" w:hAnsi="仿宋" w:eastAsia="仿宋" w:cs="仿宋"/>
          <w:spacing w:val="6"/>
          <w:sz w:val="31"/>
          <w:szCs w:val="31"/>
        </w:rPr>
        <w:t>伍、消防救援队伍或其他专业应急救援队伍，建立区级突发环</w:t>
      </w:r>
      <w:r>
        <w:rPr>
          <w:rFonts w:ascii="仿宋" w:hAnsi="仿宋" w:eastAsia="仿宋" w:cs="仿宋"/>
          <w:spacing w:val="6"/>
          <w:sz w:val="32"/>
          <w:szCs w:val="32"/>
        </w:rPr>
        <w:t>境事件应急综合性救援队伍；高环境风险行业企业建立专职或者兼职的应急救援队伍；鼓励以市场化方式委托本地区有应急处置能力的技术单位承担突发环境事件应急技术处置；加强环境应急专家队伍管理，完善环境应急专家库并定期更新，优化相关咨询机制和管理程序，及时为突发环境事件应急工作提供技术与决策支持；加强应急队伍相关知识、技能培训，定期组织应急演练；强化</w:t>
      </w:r>
      <w:r>
        <w:rPr>
          <w:rFonts w:ascii="仿宋" w:hAnsi="仿宋" w:eastAsia="仿宋" w:cs="仿宋"/>
          <w:spacing w:val="17"/>
          <w:sz w:val="32"/>
          <w:szCs w:val="32"/>
        </w:rPr>
        <w:t>部门间应急联动机制，提高突发环境事件快速响应及应急处置能</w:t>
      </w:r>
      <w:r>
        <w:rPr>
          <w:rFonts w:ascii="仿宋" w:hAnsi="仿宋" w:eastAsia="仿宋" w:cs="仿宋"/>
          <w:spacing w:val="-5"/>
          <w:sz w:val="32"/>
          <w:szCs w:val="32"/>
        </w:rPr>
        <w:t>力。</w:t>
      </w:r>
    </w:p>
    <w:p w14:paraId="0CEE49D6">
      <w:pPr>
        <w:pStyle w:val="3"/>
        <w:bidi w:val="0"/>
      </w:pPr>
      <w:bookmarkStart w:id="30" w:name="_Toc20746"/>
      <w:r>
        <w:t>（二）资金保障</w:t>
      </w:r>
      <w:bookmarkEnd w:id="30"/>
    </w:p>
    <w:p w14:paraId="6C95E412">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3" w:firstLine="644"/>
        <w:jc w:val="both"/>
        <w:textAlignment w:val="baseline"/>
        <w:rPr>
          <w:rFonts w:ascii="仿宋" w:hAnsi="仿宋" w:eastAsia="仿宋" w:cs="仿宋"/>
          <w:sz w:val="32"/>
          <w:szCs w:val="32"/>
        </w:rPr>
      </w:pPr>
      <w:r>
        <w:rPr>
          <w:rFonts w:ascii="仿宋" w:hAnsi="仿宋" w:eastAsia="仿宋" w:cs="仿宋"/>
          <w:spacing w:val="5"/>
          <w:sz w:val="32"/>
          <w:szCs w:val="32"/>
        </w:rPr>
        <w:t>区财政部门应安排专项资金，保障因不可抗力、无</w:t>
      </w:r>
      <w:r>
        <w:rPr>
          <w:rFonts w:ascii="仿宋" w:hAnsi="仿宋" w:eastAsia="仿宋" w:cs="仿宋"/>
          <w:spacing w:val="17"/>
          <w:sz w:val="32"/>
          <w:szCs w:val="32"/>
        </w:rPr>
        <w:t>明确责任人或责任人无能力承担全部费用的突发环境事件</w:t>
      </w:r>
      <w:r>
        <w:rPr>
          <w:rFonts w:ascii="仿宋" w:hAnsi="仿宋" w:eastAsia="仿宋" w:cs="仿宋"/>
          <w:spacing w:val="16"/>
          <w:sz w:val="32"/>
          <w:szCs w:val="32"/>
        </w:rPr>
        <w:t>处置及</w:t>
      </w:r>
      <w:r>
        <w:rPr>
          <w:rFonts w:ascii="仿宋" w:hAnsi="仿宋" w:eastAsia="仿宋" w:cs="仿宋"/>
          <w:spacing w:val="5"/>
          <w:sz w:val="32"/>
          <w:szCs w:val="32"/>
        </w:rPr>
        <w:t>善后。突发环境事件应急处置及生态环境损害鉴定评估所需经费由</w:t>
      </w:r>
    </w:p>
    <w:p w14:paraId="136EA91F">
      <w:pPr>
        <w:keepNext w:val="0"/>
        <w:keepLines w:val="0"/>
        <w:pageBreakBefore w:val="0"/>
        <w:widowControl/>
        <w:kinsoku w:val="0"/>
        <w:wordWrap/>
        <w:overflowPunct/>
        <w:topLinePunct w:val="0"/>
        <w:autoSpaceDE w:val="0"/>
        <w:autoSpaceDN w:val="0"/>
        <w:bidi w:val="0"/>
        <w:adjustRightInd w:val="0"/>
        <w:snapToGrid w:val="0"/>
        <w:spacing w:line="560" w:lineRule="exact"/>
        <w:ind w:left="13"/>
        <w:textAlignment w:val="baseline"/>
        <w:rPr>
          <w:rFonts w:ascii="仿宋" w:hAnsi="仿宋" w:eastAsia="仿宋" w:cs="仿宋"/>
          <w:sz w:val="32"/>
          <w:szCs w:val="32"/>
        </w:rPr>
      </w:pPr>
      <w:r>
        <w:rPr>
          <w:rFonts w:ascii="仿宋" w:hAnsi="仿宋" w:eastAsia="仿宋" w:cs="仿宋"/>
          <w:spacing w:val="6"/>
          <w:sz w:val="32"/>
          <w:szCs w:val="32"/>
        </w:rPr>
        <w:t>事件责任单位承担。</w:t>
      </w:r>
    </w:p>
    <w:p w14:paraId="4C3BDD48">
      <w:pPr>
        <w:pStyle w:val="3"/>
        <w:bidi w:val="0"/>
      </w:pPr>
      <w:bookmarkStart w:id="31" w:name="_Toc17268"/>
      <w:r>
        <w:t>（三）物资保障</w:t>
      </w:r>
      <w:bookmarkEnd w:id="31"/>
    </w:p>
    <w:p w14:paraId="52F7FFCF">
      <w:pPr>
        <w:keepNext w:val="0"/>
        <w:keepLines w:val="0"/>
        <w:pageBreakBefore w:val="0"/>
        <w:widowControl/>
        <w:kinsoku w:val="0"/>
        <w:wordWrap/>
        <w:overflowPunct/>
        <w:topLinePunct w:val="0"/>
        <w:autoSpaceDE w:val="0"/>
        <w:autoSpaceDN w:val="0"/>
        <w:bidi w:val="0"/>
        <w:adjustRightInd w:val="0"/>
        <w:snapToGrid w:val="0"/>
        <w:spacing w:before="229" w:line="560" w:lineRule="exact"/>
        <w:ind w:left="7" w:firstLine="636"/>
        <w:jc w:val="both"/>
        <w:textAlignment w:val="baseline"/>
        <w:rPr>
          <w:rFonts w:ascii="仿宋" w:hAnsi="仿宋" w:eastAsia="仿宋" w:cs="仿宋"/>
          <w:sz w:val="32"/>
          <w:szCs w:val="32"/>
        </w:rPr>
      </w:pPr>
      <w:r>
        <w:rPr>
          <w:rFonts w:ascii="仿宋" w:hAnsi="仿宋" w:eastAsia="仿宋" w:cs="仿宋"/>
          <w:spacing w:val="18"/>
          <w:sz w:val="32"/>
          <w:szCs w:val="32"/>
        </w:rPr>
        <w:t>发展改革部门组织做好储备粮油的调拨供应工作和救</w:t>
      </w:r>
      <w:r>
        <w:rPr>
          <w:rFonts w:ascii="仿宋" w:hAnsi="仿宋" w:eastAsia="仿宋" w:cs="仿宋"/>
          <w:spacing w:val="17"/>
          <w:sz w:val="32"/>
          <w:szCs w:val="32"/>
        </w:rPr>
        <w:t>灾物资</w:t>
      </w:r>
      <w:r>
        <w:rPr>
          <w:rFonts w:ascii="仿宋" w:hAnsi="仿宋" w:eastAsia="仿宋" w:cs="仿宋"/>
          <w:spacing w:val="6"/>
          <w:sz w:val="32"/>
          <w:szCs w:val="32"/>
        </w:rPr>
        <w:t>等储备工作。生态环境部门归口负责应急监测仪器设备</w:t>
      </w:r>
      <w:r>
        <w:rPr>
          <w:rFonts w:ascii="仿宋" w:hAnsi="仿宋" w:eastAsia="仿宋" w:cs="仿宋"/>
          <w:spacing w:val="5"/>
          <w:sz w:val="32"/>
          <w:szCs w:val="32"/>
        </w:rPr>
        <w:t>等专业应急</w:t>
      </w:r>
      <w:r>
        <w:rPr>
          <w:rFonts w:ascii="仿宋" w:hAnsi="仿宋" w:eastAsia="仿宋" w:cs="仿宋"/>
          <w:spacing w:val="6"/>
          <w:sz w:val="32"/>
          <w:szCs w:val="32"/>
        </w:rPr>
        <w:t>物资储备。市场监管、工业和信息化、民政、生态环境、应急管理等有关部门按照职责分工组织做好环境应急救援物资紧急</w:t>
      </w:r>
      <w:r>
        <w:rPr>
          <w:rFonts w:ascii="仿宋" w:hAnsi="仿宋" w:eastAsia="仿宋" w:cs="仿宋"/>
          <w:spacing w:val="5"/>
          <w:sz w:val="32"/>
          <w:szCs w:val="32"/>
        </w:rPr>
        <w:t>生产、储</w:t>
      </w:r>
      <w:r>
        <w:rPr>
          <w:rFonts w:ascii="仿宋" w:hAnsi="仿宋" w:eastAsia="仿宋" w:cs="仿宋"/>
          <w:spacing w:val="6"/>
          <w:sz w:val="32"/>
          <w:szCs w:val="32"/>
        </w:rPr>
        <w:t>备调拨和紧急配送工作，保障重特大突发环境事件应急处置和</w:t>
      </w:r>
      <w:r>
        <w:rPr>
          <w:rFonts w:ascii="仿宋" w:hAnsi="仿宋" w:eastAsia="仿宋" w:cs="仿宋"/>
          <w:spacing w:val="5"/>
          <w:sz w:val="32"/>
          <w:szCs w:val="32"/>
        </w:rPr>
        <w:t>环境</w:t>
      </w:r>
      <w:r>
        <w:rPr>
          <w:rFonts w:ascii="仿宋" w:hAnsi="仿宋" w:eastAsia="仿宋" w:cs="仿宋"/>
          <w:spacing w:val="6"/>
          <w:sz w:val="32"/>
          <w:szCs w:val="32"/>
        </w:rPr>
        <w:t>恢复治理工作的需要。</w:t>
      </w:r>
    </w:p>
    <w:p w14:paraId="2C83C918">
      <w:pPr>
        <w:keepNext w:val="0"/>
        <w:keepLines w:val="0"/>
        <w:pageBreakBefore w:val="0"/>
        <w:widowControl/>
        <w:kinsoku w:val="0"/>
        <w:wordWrap/>
        <w:overflowPunct/>
        <w:topLinePunct w:val="0"/>
        <w:autoSpaceDE w:val="0"/>
        <w:autoSpaceDN w:val="0"/>
        <w:bidi w:val="0"/>
        <w:adjustRightInd w:val="0"/>
        <w:snapToGrid w:val="0"/>
        <w:spacing w:before="231" w:line="560" w:lineRule="exact"/>
        <w:ind w:left="11" w:right="4" w:firstLine="631"/>
        <w:jc w:val="both"/>
        <w:textAlignment w:val="baseline"/>
        <w:rPr>
          <w:rFonts w:ascii="仿宋" w:hAnsi="仿宋" w:eastAsia="仿宋" w:cs="仿宋"/>
          <w:sz w:val="31"/>
          <w:szCs w:val="31"/>
        </w:rPr>
      </w:pPr>
      <w:r>
        <w:rPr>
          <w:rFonts w:ascii="仿宋" w:hAnsi="仿宋" w:eastAsia="仿宋" w:cs="仿宋"/>
          <w:spacing w:val="6"/>
          <w:sz w:val="31"/>
          <w:szCs w:val="31"/>
        </w:rPr>
        <w:t>区人民政府及其有关部门要加强应</w:t>
      </w:r>
      <w:r>
        <w:rPr>
          <w:rFonts w:ascii="仿宋" w:hAnsi="仿宋" w:eastAsia="仿宋" w:cs="仿宋"/>
          <w:spacing w:val="5"/>
          <w:sz w:val="31"/>
          <w:szCs w:val="31"/>
        </w:rPr>
        <w:t>急物资储备，鼓励</w:t>
      </w:r>
      <w:r>
        <w:rPr>
          <w:rFonts w:ascii="仿宋" w:hAnsi="仿宋" w:eastAsia="仿宋" w:cs="仿宋"/>
          <w:spacing w:val="6"/>
          <w:sz w:val="31"/>
          <w:szCs w:val="31"/>
        </w:rPr>
        <w:t>支持社会化应急物资储备，保障应急物资、生活</w:t>
      </w:r>
      <w:r>
        <w:rPr>
          <w:rFonts w:ascii="仿宋" w:hAnsi="仿宋" w:eastAsia="仿宋" w:cs="仿宋"/>
          <w:spacing w:val="5"/>
          <w:sz w:val="31"/>
          <w:szCs w:val="31"/>
        </w:rPr>
        <w:t>必需品的生产和供</w:t>
      </w:r>
      <w:r>
        <w:rPr>
          <w:rFonts w:ascii="仿宋" w:hAnsi="仿宋" w:eastAsia="仿宋" w:cs="仿宋"/>
          <w:spacing w:val="14"/>
          <w:sz w:val="31"/>
          <w:szCs w:val="31"/>
        </w:rPr>
        <w:t>给。生态环境部门要加强对当地环境应急物资储备信息的动态管</w:t>
      </w:r>
    </w:p>
    <w:p w14:paraId="57A7079C">
      <w:pPr>
        <w:keepNext w:val="0"/>
        <w:keepLines w:val="0"/>
        <w:pageBreakBefore w:val="0"/>
        <w:widowControl/>
        <w:kinsoku w:val="0"/>
        <w:wordWrap/>
        <w:overflowPunct/>
        <w:topLinePunct w:val="0"/>
        <w:autoSpaceDE w:val="0"/>
        <w:autoSpaceDN w:val="0"/>
        <w:bidi w:val="0"/>
        <w:adjustRightInd w:val="0"/>
        <w:snapToGrid w:val="0"/>
        <w:spacing w:line="560" w:lineRule="exact"/>
        <w:ind w:left="7"/>
        <w:textAlignment w:val="baseline"/>
        <w:rPr>
          <w:rFonts w:ascii="仿宋" w:hAnsi="仿宋" w:eastAsia="仿宋" w:cs="仿宋"/>
          <w:sz w:val="31"/>
          <w:szCs w:val="31"/>
        </w:rPr>
      </w:pPr>
      <w:r>
        <w:rPr>
          <w:rFonts w:ascii="仿宋" w:hAnsi="仿宋" w:eastAsia="仿宋" w:cs="仿宋"/>
          <w:spacing w:val="-4"/>
          <w:sz w:val="31"/>
          <w:szCs w:val="31"/>
        </w:rPr>
        <w:t>理。</w:t>
      </w:r>
    </w:p>
    <w:p w14:paraId="2E83C8B2">
      <w:pPr>
        <w:pStyle w:val="3"/>
        <w:bidi w:val="0"/>
        <w:rPr>
          <w:rFonts w:ascii="楷体" w:hAnsi="楷体" w:eastAsia="楷体" w:cs="楷体"/>
          <w:szCs w:val="31"/>
        </w:rPr>
      </w:pPr>
      <w:bookmarkStart w:id="32" w:name="_Toc19508"/>
      <w:r>
        <w:t>（四）交通和通讯保障</w:t>
      </w:r>
      <w:bookmarkEnd w:id="32"/>
    </w:p>
    <w:p w14:paraId="4AF5DA3C">
      <w:pPr>
        <w:keepNext w:val="0"/>
        <w:keepLines w:val="0"/>
        <w:pageBreakBefore w:val="0"/>
        <w:widowControl/>
        <w:kinsoku w:val="0"/>
        <w:wordWrap/>
        <w:overflowPunct/>
        <w:topLinePunct w:val="0"/>
        <w:autoSpaceDE w:val="0"/>
        <w:autoSpaceDN w:val="0"/>
        <w:bidi w:val="0"/>
        <w:adjustRightInd w:val="0"/>
        <w:snapToGrid w:val="0"/>
        <w:spacing w:before="226" w:line="560" w:lineRule="exact"/>
        <w:ind w:left="23" w:right="2" w:firstLine="631"/>
        <w:jc w:val="both"/>
        <w:textAlignment w:val="baseline"/>
        <w:rPr>
          <w:rFonts w:ascii="仿宋" w:hAnsi="仿宋" w:eastAsia="仿宋" w:cs="仿宋"/>
          <w:sz w:val="32"/>
          <w:szCs w:val="32"/>
        </w:rPr>
      </w:pPr>
      <w:r>
        <w:rPr>
          <w:rFonts w:ascii="仿宋" w:hAnsi="仿宋" w:eastAsia="仿宋" w:cs="仿宋"/>
          <w:spacing w:val="5"/>
          <w:sz w:val="32"/>
          <w:szCs w:val="32"/>
        </w:rPr>
        <w:t>交通运输部门要建立突发环境事件应急处置运输保障机制，加强与铁路、民航、航运等部门的联系，负责组织提供应急响应所需的运输保障。公安部门要加强应急交通管理，保障运送伤病员、应</w:t>
      </w:r>
      <w:r>
        <w:rPr>
          <w:rFonts w:ascii="仿宋" w:hAnsi="仿宋" w:eastAsia="仿宋" w:cs="仿宋"/>
          <w:spacing w:val="7"/>
          <w:sz w:val="32"/>
          <w:szCs w:val="32"/>
        </w:rPr>
        <w:t>急救援人员、物资、装备、器材车辆的优先通行。</w:t>
      </w:r>
    </w:p>
    <w:p w14:paraId="3B3DF49C">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4" w:firstLine="640"/>
        <w:jc w:val="both"/>
        <w:textAlignment w:val="baseline"/>
        <w:rPr>
          <w:rFonts w:ascii="仿宋" w:hAnsi="仿宋" w:eastAsia="仿宋" w:cs="仿宋"/>
          <w:sz w:val="31"/>
          <w:szCs w:val="31"/>
        </w:rPr>
      </w:pPr>
      <w:r>
        <w:rPr>
          <w:rFonts w:ascii="仿宋" w:hAnsi="仿宋" w:eastAsia="仿宋" w:cs="仿宋"/>
          <w:spacing w:val="17"/>
          <w:sz w:val="32"/>
          <w:szCs w:val="32"/>
        </w:rPr>
        <w:t>工业和信息化部门要建立健全突发环境事件应急通信保障体</w:t>
      </w:r>
      <w:r>
        <w:rPr>
          <w:rFonts w:ascii="仿宋" w:hAnsi="仿宋" w:eastAsia="仿宋" w:cs="仿宋"/>
          <w:spacing w:val="6"/>
          <w:sz w:val="32"/>
          <w:szCs w:val="32"/>
        </w:rPr>
        <w:t>系，确保应急期间通信联络和信息传递需要。市应急</w:t>
      </w:r>
      <w:r>
        <w:rPr>
          <w:rFonts w:ascii="仿宋" w:hAnsi="仿宋" w:eastAsia="仿宋" w:cs="仿宋"/>
          <w:spacing w:val="5"/>
          <w:sz w:val="32"/>
          <w:szCs w:val="32"/>
        </w:rPr>
        <w:t>指挥部各成员</w:t>
      </w:r>
      <w:r>
        <w:rPr>
          <w:rFonts w:ascii="仿宋" w:hAnsi="仿宋" w:eastAsia="仿宋" w:cs="仿宋"/>
          <w:spacing w:val="6"/>
          <w:sz w:val="32"/>
          <w:szCs w:val="32"/>
        </w:rPr>
        <w:t>单位应建立和完善通信联络系统，明确负有救援</w:t>
      </w:r>
      <w:r>
        <w:rPr>
          <w:rFonts w:ascii="仿宋" w:hAnsi="仿宋" w:eastAsia="仿宋" w:cs="仿宋"/>
          <w:spacing w:val="5"/>
          <w:sz w:val="32"/>
          <w:szCs w:val="32"/>
        </w:rPr>
        <w:t>保障任务的部门和</w:t>
      </w:r>
      <w:r>
        <w:rPr>
          <w:rFonts w:ascii="仿宋" w:hAnsi="仿宋" w:eastAsia="仿宋" w:cs="仿宋"/>
          <w:spacing w:val="8"/>
          <w:sz w:val="32"/>
          <w:szCs w:val="32"/>
        </w:rPr>
        <w:t>个人，配备必要的通讯器材并保证运行状况良好。</w:t>
      </w:r>
    </w:p>
    <w:p w14:paraId="444C77AD">
      <w:pPr>
        <w:pStyle w:val="3"/>
        <w:bidi w:val="0"/>
        <w:rPr>
          <w:rFonts w:ascii="楷体" w:hAnsi="楷体" w:eastAsia="楷体" w:cs="楷体"/>
          <w:szCs w:val="31"/>
        </w:rPr>
      </w:pPr>
      <w:bookmarkStart w:id="33" w:name="_Toc3884"/>
      <w:r>
        <w:t>（五）保险制度</w:t>
      </w:r>
      <w:bookmarkEnd w:id="33"/>
    </w:p>
    <w:p w14:paraId="667988FE">
      <w:pPr>
        <w:keepNext w:val="0"/>
        <w:keepLines w:val="0"/>
        <w:pageBreakBefore w:val="0"/>
        <w:widowControl/>
        <w:kinsoku w:val="0"/>
        <w:wordWrap/>
        <w:overflowPunct/>
        <w:topLinePunct w:val="0"/>
        <w:autoSpaceDE w:val="0"/>
        <w:autoSpaceDN w:val="0"/>
        <w:bidi w:val="0"/>
        <w:adjustRightInd w:val="0"/>
        <w:snapToGrid w:val="0"/>
        <w:spacing w:before="222" w:line="560" w:lineRule="exact"/>
        <w:ind w:left="17" w:firstLine="634"/>
        <w:jc w:val="both"/>
        <w:textAlignment w:val="baseline"/>
        <w:rPr>
          <w:rFonts w:ascii="仿宋" w:hAnsi="仿宋" w:eastAsia="仿宋" w:cs="仿宋"/>
          <w:sz w:val="31"/>
          <w:szCs w:val="31"/>
        </w:rPr>
      </w:pPr>
      <w:r>
        <w:rPr>
          <w:rFonts w:ascii="仿宋" w:hAnsi="仿宋" w:eastAsia="仿宋" w:cs="仿宋"/>
          <w:spacing w:val="5"/>
          <w:sz w:val="32"/>
          <w:szCs w:val="32"/>
        </w:rPr>
        <w:t>鼓励建立政府推动与市场运作相结合的突发环境事件防范、处置及补偿机制。鼓励保险公司根据生态环境部门要求、地区环境风</w:t>
      </w:r>
      <w:r>
        <w:rPr>
          <w:rFonts w:ascii="仿宋" w:hAnsi="仿宋" w:eastAsia="仿宋" w:cs="仿宋"/>
          <w:spacing w:val="6"/>
          <w:sz w:val="32"/>
          <w:szCs w:val="32"/>
        </w:rPr>
        <w:t>险评估情况和企业需求开发环境污染责任保险产</w:t>
      </w:r>
      <w:r>
        <w:rPr>
          <w:rFonts w:ascii="仿宋" w:hAnsi="仿宋" w:eastAsia="仿宋" w:cs="仿宋"/>
          <w:spacing w:val="5"/>
          <w:sz w:val="32"/>
          <w:szCs w:val="32"/>
        </w:rPr>
        <w:t>品，做好突发环境</w:t>
      </w:r>
      <w:r>
        <w:rPr>
          <w:rFonts w:ascii="仿宋" w:hAnsi="仿宋" w:eastAsia="仿宋" w:cs="仿宋"/>
          <w:spacing w:val="6"/>
          <w:sz w:val="32"/>
          <w:szCs w:val="32"/>
        </w:rPr>
        <w:t>事件的应急处置、定损、赔偿等服务。鼓励社会</w:t>
      </w:r>
      <w:r>
        <w:rPr>
          <w:rFonts w:ascii="仿宋" w:hAnsi="仿宋" w:eastAsia="仿宋" w:cs="仿宋"/>
          <w:spacing w:val="5"/>
          <w:sz w:val="32"/>
          <w:szCs w:val="32"/>
        </w:rPr>
        <w:t>公众参与商业保险</w:t>
      </w:r>
      <w:r>
        <w:rPr>
          <w:rFonts w:ascii="仿宋" w:hAnsi="仿宋" w:eastAsia="仿宋" w:cs="仿宋"/>
          <w:spacing w:val="8"/>
          <w:sz w:val="32"/>
          <w:szCs w:val="32"/>
        </w:rPr>
        <w:t>和参加互助保险，建立突发环境事件风险分担机制。</w:t>
      </w:r>
    </w:p>
    <w:p w14:paraId="2F93F105">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Arial" w:hAnsi="Arial"/>
          <w:b/>
        </w:rPr>
      </w:pPr>
      <w:bookmarkStart w:id="34" w:name="_Toc30478"/>
      <w:r>
        <w:rPr>
          <w:rFonts w:ascii="Arial" w:hAnsi="Arial"/>
          <w:b/>
        </w:rPr>
        <w:t>五、监督管理</w:t>
      </w:r>
      <w:bookmarkEnd w:id="34"/>
    </w:p>
    <w:p w14:paraId="2F0832C6">
      <w:pPr>
        <w:pStyle w:val="3"/>
        <w:bidi w:val="0"/>
        <w:rPr>
          <w:rFonts w:ascii="楷体" w:hAnsi="楷体" w:eastAsia="楷体" w:cs="楷体"/>
          <w:szCs w:val="31"/>
        </w:rPr>
      </w:pPr>
      <w:bookmarkStart w:id="35" w:name="_Toc5050"/>
      <w:r>
        <w:t>（一）预案演练和宣传培训</w:t>
      </w:r>
      <w:bookmarkEnd w:id="35"/>
    </w:p>
    <w:p w14:paraId="245C92CE">
      <w:pPr>
        <w:keepNext w:val="0"/>
        <w:keepLines w:val="0"/>
        <w:pageBreakBefore w:val="0"/>
        <w:widowControl/>
        <w:kinsoku w:val="0"/>
        <w:wordWrap/>
        <w:overflowPunct/>
        <w:topLinePunct w:val="0"/>
        <w:autoSpaceDE w:val="0"/>
        <w:autoSpaceDN w:val="0"/>
        <w:bidi w:val="0"/>
        <w:adjustRightInd w:val="0"/>
        <w:snapToGrid w:val="0"/>
        <w:spacing w:before="224" w:line="560" w:lineRule="exact"/>
        <w:ind w:left="7" w:firstLine="639"/>
        <w:jc w:val="both"/>
        <w:textAlignment w:val="baseline"/>
        <w:rPr>
          <w:rFonts w:ascii="仿宋" w:hAnsi="仿宋" w:eastAsia="仿宋" w:cs="仿宋"/>
          <w:sz w:val="31"/>
          <w:szCs w:val="31"/>
        </w:rPr>
      </w:pPr>
      <w:r>
        <w:rPr>
          <w:rFonts w:ascii="仿宋" w:hAnsi="仿宋" w:eastAsia="仿宋" w:cs="仿宋"/>
          <w:spacing w:val="6"/>
          <w:sz w:val="31"/>
          <w:szCs w:val="31"/>
        </w:rPr>
        <w:t>生态环境部门应当按照环境应急实战需求，</w:t>
      </w:r>
      <w:r>
        <w:rPr>
          <w:rFonts w:ascii="仿宋" w:hAnsi="仿宋" w:eastAsia="仿宋" w:cs="仿宋"/>
          <w:spacing w:val="5"/>
          <w:sz w:val="31"/>
          <w:szCs w:val="31"/>
        </w:rPr>
        <w:t>灵活采用桌面</w:t>
      </w:r>
      <w:r>
        <w:rPr>
          <w:rFonts w:ascii="仿宋" w:hAnsi="仿宋" w:eastAsia="仿宋" w:cs="仿宋"/>
          <w:spacing w:val="6"/>
          <w:sz w:val="31"/>
          <w:szCs w:val="31"/>
        </w:rPr>
        <w:t>推演、实战演练等各种方式，定期开展突发环境事件应急演练，提</w:t>
      </w:r>
      <w:r>
        <w:rPr>
          <w:rFonts w:ascii="仿宋" w:hAnsi="仿宋" w:eastAsia="仿宋" w:cs="仿宋"/>
          <w:spacing w:val="7"/>
          <w:sz w:val="31"/>
          <w:szCs w:val="31"/>
        </w:rPr>
        <w:t>高防范和处置突发环境事件能力。</w:t>
      </w:r>
    </w:p>
    <w:p w14:paraId="39451D31">
      <w:pPr>
        <w:keepNext w:val="0"/>
        <w:keepLines w:val="0"/>
        <w:pageBreakBefore w:val="0"/>
        <w:widowControl/>
        <w:kinsoku w:val="0"/>
        <w:wordWrap/>
        <w:overflowPunct/>
        <w:topLinePunct w:val="0"/>
        <w:autoSpaceDE w:val="0"/>
        <w:autoSpaceDN w:val="0"/>
        <w:bidi w:val="0"/>
        <w:adjustRightInd w:val="0"/>
        <w:snapToGrid w:val="0"/>
        <w:spacing w:before="229" w:line="560" w:lineRule="exact"/>
        <w:ind w:firstLine="646"/>
        <w:jc w:val="both"/>
        <w:textAlignment w:val="baseline"/>
        <w:rPr>
          <w:rFonts w:ascii="仿宋" w:hAnsi="仿宋" w:eastAsia="仿宋" w:cs="仿宋"/>
          <w:sz w:val="31"/>
          <w:szCs w:val="31"/>
        </w:rPr>
      </w:pPr>
      <w:r>
        <w:rPr>
          <w:rFonts w:ascii="仿宋" w:hAnsi="仿宋" w:eastAsia="仿宋" w:cs="仿宋"/>
          <w:spacing w:val="6"/>
          <w:sz w:val="31"/>
          <w:szCs w:val="31"/>
        </w:rPr>
        <w:t>各级人民政府及其有关部门要组织开展宣教</w:t>
      </w:r>
      <w:r>
        <w:rPr>
          <w:rFonts w:ascii="仿宋" w:hAnsi="仿宋" w:eastAsia="仿宋" w:cs="仿宋"/>
          <w:spacing w:val="5"/>
          <w:sz w:val="31"/>
          <w:szCs w:val="31"/>
        </w:rPr>
        <w:t>活动，普及突发环</w:t>
      </w:r>
      <w:r>
        <w:rPr>
          <w:rFonts w:ascii="仿宋" w:hAnsi="仿宋" w:eastAsia="仿宋" w:cs="仿宋"/>
          <w:spacing w:val="6"/>
          <w:sz w:val="31"/>
          <w:szCs w:val="31"/>
        </w:rPr>
        <w:t>境事件预防、避险、自救、互救和应急处置知识，建立健全突发环境事件应急管理培训制度，定期开展环境应急管理形势和突发环境</w:t>
      </w:r>
    </w:p>
    <w:p w14:paraId="52A13DCA">
      <w:pPr>
        <w:keepNext w:val="0"/>
        <w:keepLines w:val="0"/>
        <w:pageBreakBefore w:val="0"/>
        <w:widowControl/>
        <w:kinsoku w:val="0"/>
        <w:wordWrap/>
        <w:overflowPunct/>
        <w:topLinePunct w:val="0"/>
        <w:autoSpaceDE w:val="0"/>
        <w:autoSpaceDN w:val="0"/>
        <w:bidi w:val="0"/>
        <w:adjustRightInd w:val="0"/>
        <w:snapToGrid w:val="0"/>
        <w:spacing w:before="1" w:line="560" w:lineRule="exact"/>
        <w:ind w:left="17"/>
        <w:textAlignment w:val="baseline"/>
        <w:rPr>
          <w:rFonts w:ascii="仿宋" w:hAnsi="仿宋" w:eastAsia="仿宋" w:cs="仿宋"/>
          <w:sz w:val="31"/>
          <w:szCs w:val="31"/>
        </w:rPr>
      </w:pPr>
      <w:r>
        <w:rPr>
          <w:rFonts w:ascii="仿宋" w:hAnsi="仿宋" w:eastAsia="仿宋" w:cs="仿宋"/>
          <w:spacing w:val="6"/>
          <w:sz w:val="31"/>
          <w:szCs w:val="31"/>
        </w:rPr>
        <w:t>事件应急预案的培训。</w:t>
      </w:r>
    </w:p>
    <w:p w14:paraId="183AA1DC">
      <w:pPr>
        <w:pStyle w:val="3"/>
        <w:bidi w:val="0"/>
        <w:rPr>
          <w:rFonts w:ascii="Arial"/>
        </w:rPr>
      </w:pPr>
      <w:bookmarkStart w:id="36" w:name="_Toc19631"/>
      <w:r>
        <w:t>（二）责任与奖惩</w:t>
      </w:r>
      <w:bookmarkEnd w:id="36"/>
    </w:p>
    <w:p w14:paraId="313F5FAA">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152" w:firstLine="652"/>
        <w:jc w:val="both"/>
        <w:textAlignment w:val="baseline"/>
        <w:rPr>
          <w:rFonts w:ascii="仿宋" w:hAnsi="仿宋" w:eastAsia="仿宋" w:cs="仿宋"/>
          <w:sz w:val="31"/>
          <w:szCs w:val="31"/>
        </w:rPr>
      </w:pPr>
      <w:r>
        <w:rPr>
          <w:rFonts w:ascii="仿宋" w:hAnsi="仿宋" w:eastAsia="仿宋" w:cs="仿宋"/>
          <w:spacing w:val="5"/>
          <w:sz w:val="31"/>
          <w:szCs w:val="31"/>
        </w:rPr>
        <w:t>对在突发环境事件应对工作中作出突出贡献的单位和个人，要</w:t>
      </w:r>
      <w:r>
        <w:rPr>
          <w:rFonts w:ascii="仿宋" w:hAnsi="仿宋" w:eastAsia="仿宋" w:cs="仿宋"/>
          <w:spacing w:val="6"/>
          <w:sz w:val="31"/>
          <w:szCs w:val="31"/>
        </w:rPr>
        <w:t>依照有关规定给予表扬和奖励。对玩忽职守、失职、渎职的有关责任人，要依据有关规定严肃追究责任，构成犯罪的，依法追究刑事</w:t>
      </w:r>
      <w:r>
        <w:rPr>
          <w:rFonts w:ascii="仿宋" w:hAnsi="仿宋" w:eastAsia="仿宋" w:cs="仿宋"/>
          <w:spacing w:val="-2"/>
          <w:sz w:val="31"/>
          <w:szCs w:val="31"/>
        </w:rPr>
        <w:t>责任。</w:t>
      </w:r>
    </w:p>
    <w:p w14:paraId="4446BBA5">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Arial" w:hAnsi="Arial"/>
          <w:b/>
        </w:rPr>
      </w:pPr>
      <w:bookmarkStart w:id="37" w:name="_Toc4371"/>
      <w:r>
        <w:rPr>
          <w:rFonts w:ascii="Arial" w:hAnsi="Arial"/>
          <w:b/>
        </w:rPr>
        <w:t>六、附则</w:t>
      </w:r>
      <w:bookmarkEnd w:id="37"/>
    </w:p>
    <w:p w14:paraId="66E71334">
      <w:pPr>
        <w:pStyle w:val="3"/>
        <w:bidi w:val="0"/>
        <w:rPr>
          <w:rFonts w:hint="eastAsia" w:ascii="楷体" w:hAnsi="楷体" w:eastAsia="楷体" w:cs="楷体"/>
          <w:szCs w:val="32"/>
        </w:rPr>
      </w:pPr>
      <w:bookmarkStart w:id="38" w:name="bookmark36"/>
      <w:bookmarkEnd w:id="38"/>
      <w:bookmarkStart w:id="39" w:name="_Toc24971"/>
      <w:r>
        <w:rPr>
          <w:rFonts w:hint="eastAsia"/>
        </w:rPr>
        <w:t>（一）名词术语</w:t>
      </w:r>
      <w:bookmarkEnd w:id="39"/>
    </w:p>
    <w:p w14:paraId="0133C6AD">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152" w:firstLine="652"/>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rPr>
        <w:t>（1）本预案有关数量的表述中，“以上”含本数，“以下”不含本数；</w:t>
      </w:r>
    </w:p>
    <w:p w14:paraId="3CBB9D2C">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152" w:firstLine="652"/>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rPr>
        <w:t>（2）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14:paraId="37B30909">
      <w:pPr>
        <w:pStyle w:val="3"/>
        <w:bidi w:val="0"/>
      </w:pPr>
      <w:bookmarkStart w:id="40" w:name="bookmark37"/>
      <w:bookmarkEnd w:id="40"/>
      <w:bookmarkStart w:id="41" w:name="_Toc5352"/>
      <w:r>
        <w:t>（二）预案管理</w:t>
      </w:r>
      <w:bookmarkEnd w:id="41"/>
    </w:p>
    <w:p w14:paraId="0F5ACB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Arial"/>
          <w:sz w:val="21"/>
        </w:rPr>
      </w:pPr>
      <w:r>
        <w:rPr>
          <w:rFonts w:ascii="仿宋" w:hAnsi="仿宋" w:eastAsia="仿宋" w:cs="仿宋"/>
          <w:spacing w:val="5"/>
          <w:sz w:val="31"/>
          <w:szCs w:val="31"/>
        </w:rPr>
        <w:t>本预案由</w:t>
      </w:r>
      <w:r>
        <w:rPr>
          <w:rFonts w:hint="eastAsia" w:ascii="仿宋" w:hAnsi="仿宋" w:eastAsia="仿宋" w:cs="仿宋"/>
          <w:spacing w:val="5"/>
          <w:sz w:val="31"/>
          <w:szCs w:val="31"/>
          <w:lang w:eastAsia="zh-CN"/>
        </w:rPr>
        <w:t>区</w:t>
      </w:r>
      <w:r>
        <w:rPr>
          <w:rFonts w:ascii="仿宋" w:hAnsi="仿宋" w:eastAsia="仿宋" w:cs="仿宋"/>
          <w:spacing w:val="5"/>
          <w:sz w:val="31"/>
          <w:szCs w:val="31"/>
        </w:rPr>
        <w:t>人民政府组织修订，</w:t>
      </w:r>
      <w:r>
        <w:rPr>
          <w:rFonts w:hint="eastAsia" w:ascii="仿宋" w:hAnsi="仿宋" w:eastAsia="仿宋" w:cs="仿宋"/>
          <w:spacing w:val="5"/>
          <w:sz w:val="31"/>
          <w:szCs w:val="31"/>
          <w:lang w:eastAsia="zh-CN"/>
        </w:rPr>
        <w:t>区生态环境分局</w:t>
      </w:r>
      <w:r>
        <w:rPr>
          <w:rFonts w:ascii="仿宋" w:hAnsi="仿宋" w:eastAsia="仿宋" w:cs="仿宋"/>
          <w:spacing w:val="5"/>
          <w:sz w:val="31"/>
          <w:szCs w:val="31"/>
        </w:rPr>
        <w:t>负责解释。预案</w:t>
      </w:r>
      <w:r>
        <w:rPr>
          <w:rFonts w:ascii="仿宋" w:hAnsi="仿宋" w:eastAsia="仿宋" w:cs="仿宋"/>
          <w:spacing w:val="6"/>
          <w:sz w:val="31"/>
          <w:szCs w:val="31"/>
        </w:rPr>
        <w:t>的日常管理由</w:t>
      </w:r>
      <w:r>
        <w:rPr>
          <w:rFonts w:hint="eastAsia" w:ascii="仿宋" w:hAnsi="仿宋" w:eastAsia="仿宋" w:cs="仿宋"/>
          <w:spacing w:val="5"/>
          <w:sz w:val="31"/>
          <w:szCs w:val="31"/>
          <w:lang w:eastAsia="zh-CN"/>
        </w:rPr>
        <w:t>区生态环境分局</w:t>
      </w:r>
      <w:r>
        <w:rPr>
          <w:rFonts w:ascii="仿宋" w:hAnsi="仿宋" w:eastAsia="仿宋" w:cs="仿宋"/>
          <w:spacing w:val="6"/>
          <w:sz w:val="31"/>
          <w:szCs w:val="31"/>
        </w:rPr>
        <w:t>牵头负责，附录部分由</w:t>
      </w:r>
      <w:r>
        <w:rPr>
          <w:rFonts w:hint="eastAsia" w:ascii="仿宋" w:hAnsi="仿宋" w:eastAsia="仿宋" w:cs="仿宋"/>
          <w:spacing w:val="5"/>
          <w:sz w:val="31"/>
          <w:szCs w:val="31"/>
          <w:lang w:eastAsia="zh-CN"/>
        </w:rPr>
        <w:t>区生态环境分局</w:t>
      </w:r>
      <w:r>
        <w:rPr>
          <w:rFonts w:ascii="仿宋" w:hAnsi="仿宋" w:eastAsia="仿宋" w:cs="仿宋"/>
          <w:spacing w:val="5"/>
          <w:sz w:val="31"/>
          <w:szCs w:val="31"/>
        </w:rPr>
        <w:t>根</w:t>
      </w:r>
      <w:r>
        <w:rPr>
          <w:rFonts w:ascii="仿宋" w:hAnsi="仿宋" w:eastAsia="仿宋" w:cs="仿宋"/>
          <w:spacing w:val="6"/>
          <w:sz w:val="31"/>
          <w:szCs w:val="31"/>
        </w:rPr>
        <w:t>据实际情况及时更新。相关法律法规的制定、修改和完善导致</w:t>
      </w:r>
      <w:r>
        <w:rPr>
          <w:rFonts w:ascii="仿宋" w:hAnsi="仿宋" w:eastAsia="仿宋" w:cs="仿宋"/>
          <w:spacing w:val="5"/>
          <w:sz w:val="31"/>
          <w:szCs w:val="31"/>
        </w:rPr>
        <w:t>部门</w:t>
      </w:r>
      <w:r>
        <w:rPr>
          <w:rFonts w:ascii="仿宋" w:hAnsi="仿宋" w:eastAsia="仿宋" w:cs="仿宋"/>
          <w:spacing w:val="6"/>
          <w:sz w:val="31"/>
          <w:szCs w:val="31"/>
        </w:rPr>
        <w:t>职责变化，或应急过程中发现问题和出现新情况，由</w:t>
      </w:r>
      <w:r>
        <w:rPr>
          <w:rFonts w:hint="eastAsia" w:ascii="仿宋" w:hAnsi="仿宋" w:eastAsia="仿宋" w:cs="仿宋"/>
          <w:spacing w:val="5"/>
          <w:sz w:val="31"/>
          <w:szCs w:val="31"/>
          <w:lang w:eastAsia="zh-CN"/>
        </w:rPr>
        <w:t>区生态环境分局</w:t>
      </w:r>
      <w:r>
        <w:rPr>
          <w:rFonts w:ascii="仿宋" w:hAnsi="仿宋" w:eastAsia="仿宋" w:cs="仿宋"/>
          <w:spacing w:val="9"/>
          <w:sz w:val="31"/>
          <w:szCs w:val="31"/>
        </w:rPr>
        <w:t>及时对预案正文进行修订，报</w:t>
      </w:r>
      <w:r>
        <w:rPr>
          <w:rFonts w:hint="eastAsia" w:ascii="仿宋" w:hAnsi="仿宋" w:eastAsia="仿宋" w:cs="仿宋"/>
          <w:spacing w:val="9"/>
          <w:sz w:val="31"/>
          <w:szCs w:val="31"/>
          <w:lang w:eastAsia="zh-CN"/>
        </w:rPr>
        <w:t>区</w:t>
      </w:r>
      <w:r>
        <w:rPr>
          <w:rFonts w:ascii="仿宋" w:hAnsi="仿宋" w:eastAsia="仿宋" w:cs="仿宋"/>
          <w:spacing w:val="9"/>
          <w:sz w:val="31"/>
          <w:szCs w:val="31"/>
        </w:rPr>
        <w:t>人民政府批准。</w:t>
      </w:r>
    </w:p>
    <w:p w14:paraId="4DFB15CD">
      <w:pPr>
        <w:pStyle w:val="3"/>
        <w:bidi w:val="0"/>
        <w:rPr>
          <w:rFonts w:ascii="楷体" w:hAnsi="楷体" w:eastAsia="楷体" w:cs="楷体"/>
          <w:szCs w:val="31"/>
        </w:rPr>
      </w:pPr>
      <w:bookmarkStart w:id="42" w:name="bookmark38"/>
      <w:bookmarkEnd w:id="42"/>
      <w:bookmarkStart w:id="43" w:name="_Toc21363"/>
      <w:r>
        <w:t>（三）预案实施</w:t>
      </w:r>
      <w:bookmarkEnd w:id="43"/>
    </w:p>
    <w:p w14:paraId="550FE972">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21" w:right="4" w:firstLine="613"/>
        <w:textAlignment w:val="baseline"/>
        <w:rPr>
          <w:rFonts w:ascii="仿宋" w:hAnsi="仿宋" w:eastAsia="仿宋" w:cs="仿宋"/>
          <w:sz w:val="31"/>
          <w:szCs w:val="31"/>
        </w:rPr>
      </w:pPr>
      <w:r>
        <w:rPr>
          <w:rFonts w:ascii="仿宋" w:hAnsi="仿宋" w:eastAsia="仿宋" w:cs="仿宋"/>
          <w:spacing w:val="5"/>
          <w:sz w:val="31"/>
          <w:szCs w:val="31"/>
        </w:rPr>
        <w:t>本预案自印发之日起实施。</w:t>
      </w:r>
      <w:r>
        <w:rPr>
          <w:spacing w:val="5"/>
          <w:sz w:val="31"/>
          <w:szCs w:val="31"/>
        </w:rPr>
        <w:t>20</w:t>
      </w:r>
      <w:r>
        <w:rPr>
          <w:rFonts w:hint="eastAsia" w:eastAsia="宋体"/>
          <w:spacing w:val="5"/>
          <w:sz w:val="31"/>
          <w:szCs w:val="31"/>
          <w:lang w:eastAsia="zh-CN"/>
        </w:rPr>
        <w:t>20</w:t>
      </w:r>
      <w:r>
        <w:rPr>
          <w:rFonts w:ascii="仿宋" w:hAnsi="仿宋" w:eastAsia="仿宋" w:cs="仿宋"/>
          <w:spacing w:val="5"/>
          <w:sz w:val="31"/>
          <w:szCs w:val="31"/>
        </w:rPr>
        <w:t>年</w:t>
      </w:r>
      <w:r>
        <w:rPr>
          <w:rFonts w:hint="eastAsia" w:ascii="仿宋" w:hAnsi="仿宋" w:eastAsia="仿宋" w:cs="仿宋"/>
          <w:spacing w:val="9"/>
          <w:sz w:val="31"/>
          <w:szCs w:val="31"/>
        </w:rPr>
        <w:t>汕头市潮阳区人民政府办公室印发</w:t>
      </w:r>
      <w:r>
        <w:rPr>
          <w:rFonts w:hint="eastAsia" w:ascii="仿宋" w:hAnsi="仿宋" w:eastAsia="仿宋" w:cs="仿宋"/>
          <w:spacing w:val="9"/>
          <w:sz w:val="31"/>
          <w:szCs w:val="31"/>
          <w:lang w:eastAsia="zh-CN"/>
        </w:rPr>
        <w:t>的《</w:t>
      </w:r>
      <w:r>
        <w:rPr>
          <w:rFonts w:hint="eastAsia" w:ascii="仿宋" w:hAnsi="仿宋" w:eastAsia="仿宋" w:cs="仿宋"/>
          <w:spacing w:val="9"/>
          <w:sz w:val="31"/>
          <w:szCs w:val="31"/>
        </w:rPr>
        <w:t>汕头市潮阳区突发环境事件应急预案</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汕潮阳府办函[2020]8号</w:t>
      </w:r>
      <w:r>
        <w:rPr>
          <w:rFonts w:hint="eastAsia" w:ascii="仿宋" w:hAnsi="仿宋" w:eastAsia="仿宋" w:cs="仿宋"/>
          <w:spacing w:val="9"/>
          <w:sz w:val="31"/>
          <w:szCs w:val="31"/>
          <w:lang w:eastAsia="zh-CN"/>
        </w:rPr>
        <w:t>）</w:t>
      </w:r>
      <w:r>
        <w:rPr>
          <w:rFonts w:ascii="仿宋" w:hAnsi="仿宋" w:eastAsia="仿宋" w:cs="仿宋"/>
          <w:spacing w:val="-2"/>
          <w:sz w:val="31"/>
          <w:szCs w:val="31"/>
        </w:rPr>
        <w:t>自即日起废止。</w:t>
      </w:r>
    </w:p>
    <w:p w14:paraId="0E23B2F5">
      <w:pPr>
        <w:pStyle w:val="2"/>
        <w:keepNext/>
        <w:keepLines/>
        <w:pageBreakBefore w:val="0"/>
        <w:widowControl/>
        <w:kinsoku w:val="0"/>
        <w:wordWrap/>
        <w:overflowPunct/>
        <w:topLinePunct w:val="0"/>
        <w:autoSpaceDE w:val="0"/>
        <w:autoSpaceDN w:val="0"/>
        <w:bidi w:val="0"/>
        <w:adjustRightInd w:val="0"/>
        <w:snapToGrid w:val="0"/>
        <w:ind w:firstLine="643" w:firstLineChars="200"/>
        <w:textAlignment w:val="baseline"/>
        <w:rPr>
          <w:rFonts w:ascii="Arial" w:hAnsi="Arial"/>
          <w:b/>
        </w:rPr>
      </w:pPr>
      <w:bookmarkStart w:id="44" w:name="_Toc31007"/>
      <w:r>
        <w:rPr>
          <w:rFonts w:ascii="Arial" w:hAnsi="Arial"/>
          <w:b/>
        </w:rPr>
        <w:t>七、附件</w:t>
      </w:r>
      <w:bookmarkEnd w:id="44"/>
    </w:p>
    <w:p w14:paraId="784943F0">
      <w:pPr>
        <w:pStyle w:val="3"/>
        <w:bidi w:val="0"/>
        <w:rPr>
          <w:rFonts w:ascii="楷体" w:hAnsi="楷体" w:eastAsia="楷体" w:cs="楷体"/>
          <w:szCs w:val="31"/>
        </w:rPr>
      </w:pPr>
      <w:bookmarkStart w:id="45" w:name="bookmark40"/>
      <w:bookmarkEnd w:id="45"/>
      <w:bookmarkStart w:id="46" w:name="bookmark39"/>
      <w:bookmarkEnd w:id="46"/>
      <w:bookmarkStart w:id="47" w:name="_Toc25251"/>
      <w:r>
        <w:t>（一）突发环境事件分级标准</w:t>
      </w:r>
      <w:bookmarkEnd w:id="47"/>
    </w:p>
    <w:p w14:paraId="70E74B4F">
      <w:pPr>
        <w:pStyle w:val="4"/>
        <w:bidi w:val="0"/>
      </w:pPr>
      <w:bookmarkStart w:id="48" w:name="bookmark41"/>
      <w:bookmarkEnd w:id="48"/>
      <w:bookmarkStart w:id="49" w:name="_Toc23338"/>
      <w:r>
        <w:t>1.特别重大突发环境事件凡符合下列情形之一的,为特别重大</w:t>
      </w:r>
      <w:bookmarkEnd w:id="49"/>
    </w:p>
    <w:p w14:paraId="45C91088">
      <w:pPr>
        <w:pStyle w:val="4"/>
        <w:bidi w:val="0"/>
        <w:ind w:left="0" w:leftChars="0" w:firstLine="0" w:firstLineChars="0"/>
      </w:pPr>
      <w:bookmarkStart w:id="50" w:name="_Toc17483"/>
      <w:r>
        <w:t>突发环境事件:</w:t>
      </w:r>
      <w:bookmarkEnd w:id="50"/>
    </w:p>
    <w:p w14:paraId="7F31505F">
      <w:pPr>
        <w:pStyle w:val="5"/>
        <w:keepNext w:val="0"/>
        <w:keepLines w:val="0"/>
        <w:pageBreakBefore w:val="0"/>
        <w:widowControl/>
        <w:kinsoku w:val="0"/>
        <w:wordWrap/>
        <w:overflowPunct/>
        <w:topLinePunct w:val="0"/>
        <w:autoSpaceDE w:val="0"/>
        <w:autoSpaceDN w:val="0"/>
        <w:bidi w:val="0"/>
        <w:adjustRightInd w:val="0"/>
        <w:snapToGrid w:val="0"/>
        <w:spacing w:before="228" w:line="560" w:lineRule="exact"/>
        <w:ind w:right="4"/>
        <w:jc w:val="right"/>
        <w:textAlignment w:val="baseline"/>
        <w:rPr>
          <w:rFonts w:ascii="仿宋" w:hAnsi="仿宋" w:eastAsia="仿宋" w:cs="仿宋"/>
          <w:sz w:val="31"/>
          <w:szCs w:val="31"/>
        </w:rPr>
      </w:pPr>
      <w:r>
        <w:rPr>
          <w:rFonts w:ascii="仿宋" w:hAnsi="仿宋" w:eastAsia="仿宋" w:cs="仿宋"/>
          <w:spacing w:val="5"/>
          <w:position w:val="21"/>
          <w:sz w:val="31"/>
          <w:szCs w:val="31"/>
        </w:rPr>
        <w:t>（</w:t>
      </w:r>
      <w:r>
        <w:rPr>
          <w:spacing w:val="5"/>
          <w:position w:val="21"/>
          <w:sz w:val="31"/>
          <w:szCs w:val="31"/>
        </w:rPr>
        <w:t>1</w:t>
      </w:r>
      <w:r>
        <w:rPr>
          <w:rFonts w:ascii="仿宋" w:hAnsi="仿宋" w:eastAsia="仿宋" w:cs="仿宋"/>
          <w:spacing w:val="5"/>
          <w:position w:val="21"/>
          <w:sz w:val="31"/>
          <w:szCs w:val="31"/>
        </w:rPr>
        <w:t>）因环境污染直接导致</w:t>
      </w:r>
      <w:r>
        <w:rPr>
          <w:spacing w:val="5"/>
          <w:position w:val="21"/>
          <w:sz w:val="31"/>
          <w:szCs w:val="31"/>
        </w:rPr>
        <w:t>30</w:t>
      </w:r>
      <w:r>
        <w:rPr>
          <w:rFonts w:ascii="仿宋" w:hAnsi="仿宋" w:eastAsia="仿宋" w:cs="仿宋"/>
          <w:spacing w:val="5"/>
          <w:position w:val="21"/>
          <w:sz w:val="31"/>
          <w:szCs w:val="31"/>
        </w:rPr>
        <w:t>人以上死亡</w:t>
      </w:r>
      <w:r>
        <w:rPr>
          <w:rFonts w:ascii="仿宋" w:hAnsi="仿宋" w:eastAsia="仿宋" w:cs="仿宋"/>
          <w:spacing w:val="4"/>
          <w:position w:val="21"/>
          <w:sz w:val="31"/>
          <w:szCs w:val="31"/>
        </w:rPr>
        <w:t>或</w:t>
      </w:r>
      <w:r>
        <w:rPr>
          <w:spacing w:val="4"/>
          <w:position w:val="21"/>
          <w:sz w:val="31"/>
          <w:szCs w:val="31"/>
        </w:rPr>
        <w:t>100</w:t>
      </w:r>
      <w:r>
        <w:rPr>
          <w:rFonts w:ascii="仿宋" w:hAnsi="仿宋" w:eastAsia="仿宋" w:cs="仿宋"/>
          <w:spacing w:val="4"/>
          <w:position w:val="21"/>
          <w:sz w:val="31"/>
          <w:szCs w:val="31"/>
        </w:rPr>
        <w:t>人以上中毒或重</w:t>
      </w:r>
    </w:p>
    <w:p w14:paraId="0E88A4D9">
      <w:pPr>
        <w:keepNext w:val="0"/>
        <w:keepLines w:val="0"/>
        <w:pageBreakBefore w:val="0"/>
        <w:widowControl/>
        <w:kinsoku w:val="0"/>
        <w:wordWrap/>
        <w:overflowPunct/>
        <w:topLinePunct w:val="0"/>
        <w:autoSpaceDE w:val="0"/>
        <w:autoSpaceDN w:val="0"/>
        <w:bidi w:val="0"/>
        <w:adjustRightInd w:val="0"/>
        <w:snapToGrid w:val="0"/>
        <w:spacing w:before="1" w:line="560" w:lineRule="exact"/>
        <w:textAlignment w:val="baseline"/>
        <w:rPr>
          <w:rFonts w:ascii="仿宋" w:hAnsi="仿宋" w:eastAsia="仿宋" w:cs="仿宋"/>
          <w:sz w:val="31"/>
          <w:szCs w:val="31"/>
        </w:rPr>
      </w:pPr>
      <w:r>
        <w:rPr>
          <w:rFonts w:ascii="仿宋" w:hAnsi="仿宋" w:eastAsia="仿宋" w:cs="仿宋"/>
          <w:spacing w:val="-1"/>
          <w:sz w:val="31"/>
          <w:szCs w:val="31"/>
        </w:rPr>
        <w:t>伤的；</w:t>
      </w:r>
    </w:p>
    <w:p w14:paraId="4C4CFA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（2）因环境污染疏散、转移人员5万人以上的;</w:t>
      </w:r>
    </w:p>
    <w:p w14:paraId="1A6A05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（3）因环境污染造成直接经济损失1亿元以上的;</w:t>
      </w:r>
    </w:p>
    <w:p w14:paraId="475BDC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（4）因环境污染造成区域生态功能丧失或该区域国家重点保</w:t>
      </w:r>
    </w:p>
    <w:p w14:paraId="7165B4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护物种灭绝的;</w:t>
      </w:r>
    </w:p>
    <w:p w14:paraId="53C236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（5）因环境污染造成地级以上市集中式饮用水水源地取水中</w:t>
      </w:r>
    </w:p>
    <w:p w14:paraId="7F5FED5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断的;</w:t>
      </w:r>
    </w:p>
    <w:p w14:paraId="1B8924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（6）I、Ⅱ类放射源丢失、被盗、失控并造成大范围严重辐射污染后果的；放射性同位素和射线装置失控导致3人以上急性死亡的；放射性物质泄漏，造成大范围辐射污染后果的；</w:t>
      </w:r>
    </w:p>
    <w:p w14:paraId="61CCE7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（7）造成重大跨国境影响的境内突发环境事件。</w:t>
      </w:r>
    </w:p>
    <w:p w14:paraId="3F9CA4C8">
      <w:pPr>
        <w:pStyle w:val="4"/>
        <w:bidi w:val="0"/>
      </w:pPr>
      <w:bookmarkStart w:id="51" w:name="bookmark42"/>
      <w:bookmarkEnd w:id="51"/>
      <w:bookmarkStart w:id="52" w:name="_Toc31482"/>
      <w:r>
        <w:t>2.重大突发环境事件</w:t>
      </w:r>
      <w:bookmarkEnd w:id="52"/>
    </w:p>
    <w:p w14:paraId="415750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凡符合下列情形之一的，为重大突发环境事件：</w:t>
      </w:r>
    </w:p>
    <w:p w14:paraId="39EA5C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（1）因环境污染直接导致10人以上30人以下死亡或50人以上100人以下中毒或重伤的；</w:t>
      </w:r>
    </w:p>
    <w:p w14:paraId="2D4206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（2）因环境污染疏散、转移人员1万人以上5万人以下的；</w:t>
      </w:r>
    </w:p>
    <w:p w14:paraId="49A32D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（3）因环境污染造成直接经济损失2000万元以上1亿元以下</w:t>
      </w:r>
    </w:p>
    <w:p w14:paraId="451207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的；</w:t>
      </w:r>
    </w:p>
    <w:p w14:paraId="3017C2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（4）因环境污染造成区域生态功能部分丧失或该区域国家重</w:t>
      </w:r>
    </w:p>
    <w:p w14:paraId="0BC326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点保护野生动植物种群大批死亡的；</w:t>
      </w:r>
    </w:p>
    <w:p w14:paraId="7B63F4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（5）因环境污染造成区（县）级城市集中式饮用水水源地取</w:t>
      </w:r>
    </w:p>
    <w:p w14:paraId="26C123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水中断的；</w:t>
      </w:r>
    </w:p>
    <w:p w14:paraId="5DCD40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（6）Ⅰ、Ⅱ类放射源丢失、被盗的；放射性同位素和射线装置失控导致3人以下急性死亡或者10人以上急性重度放射病、局部器官残疾的；放射性物质泄漏，造成较大范围辐射污染后果的；</w:t>
      </w:r>
    </w:p>
    <w:p w14:paraId="7162E1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（7）造成跨省级行政区域影响的突发环境事件。</w:t>
      </w:r>
    </w:p>
    <w:p w14:paraId="70D5B9D5">
      <w:pPr>
        <w:pStyle w:val="4"/>
        <w:bidi w:val="0"/>
        <w:rPr>
          <w:rFonts w:ascii="仿宋" w:hAnsi="仿宋" w:eastAsia="仿宋" w:cs="仿宋"/>
          <w:szCs w:val="31"/>
        </w:rPr>
      </w:pPr>
      <w:bookmarkStart w:id="53" w:name="bookmark43"/>
      <w:bookmarkEnd w:id="53"/>
      <w:bookmarkStart w:id="54" w:name="_Toc551"/>
      <w:r>
        <w:t>3.较大突发环境事件</w:t>
      </w:r>
      <w:bookmarkEnd w:id="54"/>
    </w:p>
    <w:p w14:paraId="5F0F93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凡符合下列情形之一的，为较大突发环境事件：</w:t>
      </w:r>
    </w:p>
    <w:p w14:paraId="0AB6A0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（1）因环境污染直接导致3人以上10人以下死亡或10人以上50人以下中毒或重伤的；</w:t>
      </w:r>
    </w:p>
    <w:p w14:paraId="2D308D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（2）因环境污染疏散、转移人员5000人以上1万人以下的；</w:t>
      </w:r>
    </w:p>
    <w:p w14:paraId="1F569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（3）因环境污染造成直接经济损失500万元以上2000万元以下的；</w:t>
      </w:r>
    </w:p>
    <w:p w14:paraId="3E3B5D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（4）因环境污染造成国家重点保护的动植物物种受到破坏的；</w:t>
      </w:r>
    </w:p>
    <w:p w14:paraId="3F1387BB">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（5）因环境污染造成乡镇集中式饮用水水源地取水中断的；</w:t>
      </w:r>
    </w:p>
    <w:p w14:paraId="5E56C7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（6）Ⅲ类放射源丢失、被盗的；放射性同位素和射线装置失控导致10人以下急性重度放射病、局部器官残疾的；放射性物质泄漏，造成小范围辐射污染后果的；</w:t>
      </w:r>
    </w:p>
    <w:p w14:paraId="1A7ECC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（7）造成跨地级以上市行政区域影响的突发环境事件。</w:t>
      </w:r>
    </w:p>
    <w:p w14:paraId="4DF17E1C">
      <w:pPr>
        <w:pStyle w:val="4"/>
        <w:bidi w:val="0"/>
        <w:rPr>
          <w:rFonts w:hint="eastAsia" w:ascii="仿宋_GB2312" w:hAnsi="仿宋_GB2312" w:eastAsia="仿宋_GB2312" w:cs="仿宋_GB2312"/>
          <w:szCs w:val="32"/>
        </w:rPr>
      </w:pPr>
      <w:bookmarkStart w:id="55" w:name="bookmark44"/>
      <w:bookmarkEnd w:id="55"/>
      <w:bookmarkStart w:id="56" w:name="_Toc9887"/>
      <w:r>
        <w:rPr>
          <w:rFonts w:hint="eastAsia" w:ascii="仿宋" w:hAnsi="仿宋" w:eastAsia="仿宋" w:cs="仿宋"/>
        </w:rPr>
        <w:t>4.一般突发环境事件</w:t>
      </w:r>
      <w:bookmarkEnd w:id="56"/>
    </w:p>
    <w:p w14:paraId="06171E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凡符合下列情形之一的，为一般突发环境事件：</w:t>
      </w:r>
    </w:p>
    <w:p w14:paraId="5B20E2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（1）因环境污染直接导致3人以下死亡或10人以下中毒或重伤的；</w:t>
      </w:r>
    </w:p>
    <w:p w14:paraId="5099A3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（2）因环境污染疏散、转移人员5000人以下的；</w:t>
      </w:r>
    </w:p>
    <w:p w14:paraId="775B9E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（3）因环境污染造成直接经济损失500万元以下的；</w:t>
      </w:r>
    </w:p>
    <w:p w14:paraId="1931D7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（4）因环境污染造成跨区（县）级行政区域纠纷，引起一般</w:t>
      </w:r>
    </w:p>
    <w:p w14:paraId="0F5FA2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性群体影响的；</w:t>
      </w:r>
    </w:p>
    <w:p w14:paraId="79299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033646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（6）对环境造成一定影响，尚未达到较大突发环境事件级别</w:t>
      </w:r>
    </w:p>
    <w:p w14:paraId="067F2A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的。</w:t>
      </w:r>
    </w:p>
    <w:p w14:paraId="7509AA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sectPr>
          <w:footerReference r:id="rId9" w:type="default"/>
          <w:pgSz w:w="12240" w:h="15840"/>
          <w:pgMar w:top="1587" w:right="1451" w:bottom="1587" w:left="1593" w:header="0" w:footer="578" w:gutter="0"/>
          <w:pgNumType w:fmt="decimal"/>
          <w:cols w:space="0" w:num="1"/>
          <w:rtlGutter w:val="0"/>
          <w:docGrid w:linePitch="0" w:charSpace="0"/>
        </w:sectPr>
      </w:pPr>
    </w:p>
    <w:p w14:paraId="43A313AB">
      <w:pPr>
        <w:pStyle w:val="2"/>
        <w:bidi w:val="0"/>
        <w:outlineLvl w:val="1"/>
      </w:pPr>
      <w:bookmarkStart w:id="57" w:name="_Toc6189"/>
      <w:r>
        <w:t>突发环境事件分级标准等级指标表</w:t>
      </w:r>
      <w:bookmarkEnd w:id="57"/>
    </w:p>
    <w:p w14:paraId="3A3AD3AB">
      <w:pPr>
        <w:spacing w:line="224" w:lineRule="exact"/>
      </w:pPr>
    </w:p>
    <w:tbl>
      <w:tblPr>
        <w:tblStyle w:val="9"/>
        <w:tblW w:w="13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53"/>
        <w:gridCol w:w="589"/>
        <w:gridCol w:w="1126"/>
        <w:gridCol w:w="824"/>
        <w:gridCol w:w="1010"/>
        <w:gridCol w:w="1263"/>
        <w:gridCol w:w="867"/>
        <w:gridCol w:w="1444"/>
        <w:gridCol w:w="908"/>
        <w:gridCol w:w="944"/>
        <w:gridCol w:w="1468"/>
        <w:gridCol w:w="1465"/>
      </w:tblGrid>
      <w:tr w14:paraId="0FFE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80" w:type="dxa"/>
            <w:vMerge w:val="restart"/>
            <w:tcBorders>
              <w:bottom w:val="nil"/>
            </w:tcBorders>
            <w:vAlign w:val="top"/>
          </w:tcPr>
          <w:p w14:paraId="4DACCEA4">
            <w:pPr>
              <w:spacing w:line="331" w:lineRule="auto"/>
              <w:rPr>
                <w:rFonts w:ascii="Arial"/>
                <w:sz w:val="21"/>
              </w:rPr>
            </w:pPr>
          </w:p>
          <w:p w14:paraId="659911BB">
            <w:pPr>
              <w:pStyle w:val="10"/>
              <w:spacing w:before="45" w:line="317" w:lineRule="exact"/>
              <w:ind w:left="194"/>
            </w:pPr>
            <w:r>
              <w:rPr>
                <w:spacing w:val="5"/>
                <w:position w:val="13"/>
              </w:rPr>
              <w:t>事件</w:t>
            </w:r>
          </w:p>
          <w:p w14:paraId="25E66563">
            <w:pPr>
              <w:pStyle w:val="10"/>
              <w:spacing w:line="231" w:lineRule="auto"/>
              <w:ind w:left="196"/>
            </w:pPr>
            <w:r>
              <w:rPr>
                <w:spacing w:val="4"/>
              </w:rPr>
              <w:t>级别</w:t>
            </w:r>
          </w:p>
        </w:tc>
        <w:tc>
          <w:tcPr>
            <w:tcW w:w="953" w:type="dxa"/>
            <w:vMerge w:val="restart"/>
            <w:tcBorders>
              <w:bottom w:val="nil"/>
            </w:tcBorders>
            <w:vAlign w:val="top"/>
          </w:tcPr>
          <w:p w14:paraId="1416244C">
            <w:pPr>
              <w:spacing w:line="331" w:lineRule="auto"/>
              <w:rPr>
                <w:rFonts w:ascii="Arial"/>
                <w:sz w:val="21"/>
              </w:rPr>
            </w:pPr>
          </w:p>
          <w:p w14:paraId="56528BA9">
            <w:pPr>
              <w:pStyle w:val="10"/>
              <w:spacing w:before="45" w:line="317" w:lineRule="exact"/>
              <w:ind w:left="330"/>
            </w:pPr>
            <w:r>
              <w:rPr>
                <w:spacing w:val="4"/>
                <w:position w:val="13"/>
              </w:rPr>
              <w:t>级别</w:t>
            </w:r>
          </w:p>
          <w:p w14:paraId="0C3F049F">
            <w:pPr>
              <w:pStyle w:val="10"/>
              <w:spacing w:line="233" w:lineRule="auto"/>
              <w:ind w:left="329"/>
            </w:pPr>
            <w:r>
              <w:rPr>
                <w:spacing w:val="5"/>
              </w:rPr>
              <w:t>描述</w:t>
            </w:r>
          </w:p>
        </w:tc>
        <w:tc>
          <w:tcPr>
            <w:tcW w:w="589" w:type="dxa"/>
            <w:vMerge w:val="restart"/>
            <w:tcBorders>
              <w:bottom w:val="nil"/>
            </w:tcBorders>
            <w:vAlign w:val="top"/>
          </w:tcPr>
          <w:p w14:paraId="4FDA7E61">
            <w:pPr>
              <w:spacing w:line="331" w:lineRule="auto"/>
              <w:rPr>
                <w:rFonts w:ascii="Arial"/>
                <w:sz w:val="21"/>
              </w:rPr>
            </w:pPr>
          </w:p>
          <w:p w14:paraId="0E072CA9">
            <w:pPr>
              <w:pStyle w:val="10"/>
              <w:spacing w:before="45" w:line="317" w:lineRule="exact"/>
              <w:ind w:left="146"/>
            </w:pPr>
            <w:r>
              <w:rPr>
                <w:spacing w:val="5"/>
                <w:position w:val="13"/>
              </w:rPr>
              <w:t>预警</w:t>
            </w:r>
          </w:p>
          <w:p w14:paraId="27808F5F">
            <w:pPr>
              <w:pStyle w:val="10"/>
              <w:spacing w:line="231" w:lineRule="auto"/>
              <w:ind w:left="146"/>
            </w:pPr>
            <w:r>
              <w:rPr>
                <w:spacing w:val="5"/>
              </w:rPr>
              <w:t>标示</w:t>
            </w:r>
          </w:p>
        </w:tc>
        <w:tc>
          <w:tcPr>
            <w:tcW w:w="1126" w:type="dxa"/>
            <w:vMerge w:val="restart"/>
            <w:tcBorders>
              <w:bottom w:val="nil"/>
            </w:tcBorders>
            <w:vAlign w:val="top"/>
          </w:tcPr>
          <w:p w14:paraId="51F6A55F">
            <w:pPr>
              <w:pStyle w:val="10"/>
              <w:spacing w:before="220" w:line="233" w:lineRule="auto"/>
              <w:ind w:left="377"/>
            </w:pPr>
            <w:r>
              <w:rPr>
                <w:spacing w:val="6"/>
              </w:rPr>
              <w:t>死亡/</w:t>
            </w:r>
          </w:p>
          <w:p w14:paraId="3D5DDABE">
            <w:pPr>
              <w:pStyle w:val="10"/>
              <w:spacing w:before="140" w:line="231" w:lineRule="auto"/>
              <w:ind w:left="204"/>
            </w:pPr>
            <w:r>
              <w:rPr>
                <w:spacing w:val="5"/>
              </w:rPr>
              <w:t>中毒或重伤</w:t>
            </w:r>
          </w:p>
          <w:p w14:paraId="3210066E">
            <w:pPr>
              <w:pStyle w:val="10"/>
              <w:spacing w:before="141" w:line="234" w:lineRule="auto"/>
              <w:ind w:left="347"/>
            </w:pPr>
            <w:r>
              <w:rPr>
                <w:spacing w:val="1"/>
              </w:rPr>
              <w:t>（人）</w:t>
            </w:r>
          </w:p>
        </w:tc>
        <w:tc>
          <w:tcPr>
            <w:tcW w:w="824" w:type="dxa"/>
            <w:vMerge w:val="restart"/>
            <w:tcBorders>
              <w:bottom w:val="nil"/>
            </w:tcBorders>
            <w:vAlign w:val="top"/>
          </w:tcPr>
          <w:p w14:paraId="0F0AE0AC">
            <w:pPr>
              <w:pStyle w:val="10"/>
              <w:spacing w:before="219" w:line="418" w:lineRule="auto"/>
              <w:ind w:left="189" w:right="111" w:hanging="74"/>
              <w:jc w:val="both"/>
            </w:pPr>
            <w:r>
              <w:rPr>
                <w:spacing w:val="7"/>
              </w:rPr>
              <w:t>疏散、转移人数</w:t>
            </w:r>
          </w:p>
          <w:p w14:paraId="346CDC5F">
            <w:pPr>
              <w:pStyle w:val="10"/>
              <w:spacing w:line="231" w:lineRule="auto"/>
              <w:ind w:left="123"/>
            </w:pPr>
            <w:r>
              <w:rPr>
                <w:spacing w:val="3"/>
              </w:rPr>
              <w:t>（万人）</w:t>
            </w:r>
          </w:p>
        </w:tc>
        <w:tc>
          <w:tcPr>
            <w:tcW w:w="1010" w:type="dxa"/>
            <w:vMerge w:val="restart"/>
            <w:tcBorders>
              <w:bottom w:val="nil"/>
            </w:tcBorders>
            <w:vAlign w:val="top"/>
          </w:tcPr>
          <w:p w14:paraId="537FDA3F">
            <w:pPr>
              <w:spacing w:line="331" w:lineRule="auto"/>
              <w:rPr>
                <w:rFonts w:ascii="Arial"/>
                <w:sz w:val="21"/>
              </w:rPr>
            </w:pPr>
          </w:p>
          <w:p w14:paraId="723040B6">
            <w:pPr>
              <w:pStyle w:val="10"/>
              <w:spacing w:before="45" w:line="317" w:lineRule="exact"/>
              <w:ind w:left="132"/>
            </w:pPr>
            <w:r>
              <w:rPr>
                <w:spacing w:val="8"/>
                <w:position w:val="13"/>
              </w:rPr>
              <w:t>直接经济损</w:t>
            </w:r>
          </w:p>
          <w:p w14:paraId="24928566">
            <w:pPr>
              <w:pStyle w:val="10"/>
              <w:spacing w:line="231" w:lineRule="auto"/>
              <w:ind w:left="134"/>
            </w:pPr>
            <w:r>
              <w:rPr>
                <w:spacing w:val="5"/>
              </w:rPr>
              <w:t>失（亿元）</w:t>
            </w:r>
          </w:p>
        </w:tc>
        <w:tc>
          <w:tcPr>
            <w:tcW w:w="1263" w:type="dxa"/>
            <w:vMerge w:val="restart"/>
            <w:tcBorders>
              <w:bottom w:val="nil"/>
            </w:tcBorders>
            <w:vAlign w:val="top"/>
          </w:tcPr>
          <w:p w14:paraId="729A9AD9">
            <w:pPr>
              <w:spacing w:line="244" w:lineRule="auto"/>
              <w:rPr>
                <w:rFonts w:ascii="Arial"/>
                <w:sz w:val="21"/>
              </w:rPr>
            </w:pPr>
          </w:p>
          <w:p w14:paraId="23447EFF">
            <w:pPr>
              <w:spacing w:line="244" w:lineRule="auto"/>
              <w:rPr>
                <w:rFonts w:ascii="Arial"/>
                <w:sz w:val="21"/>
              </w:rPr>
            </w:pPr>
          </w:p>
          <w:p w14:paraId="71E379F1">
            <w:pPr>
              <w:pStyle w:val="10"/>
              <w:spacing w:before="46" w:line="232" w:lineRule="auto"/>
              <w:ind w:left="333"/>
            </w:pPr>
            <w:r>
              <w:rPr>
                <w:spacing w:val="7"/>
              </w:rPr>
              <w:t>影响范围</w:t>
            </w:r>
          </w:p>
        </w:tc>
        <w:tc>
          <w:tcPr>
            <w:tcW w:w="4163" w:type="dxa"/>
            <w:gridSpan w:val="4"/>
            <w:vAlign w:val="top"/>
          </w:tcPr>
          <w:p w14:paraId="7D434B5A">
            <w:pPr>
              <w:pStyle w:val="10"/>
              <w:spacing w:before="136" w:line="231" w:lineRule="auto"/>
              <w:ind w:left="1261"/>
            </w:pPr>
            <w:r>
              <w:rPr>
                <w:spacing w:val="9"/>
              </w:rPr>
              <w:t>放射源丢失、被盗、失控</w:t>
            </w:r>
          </w:p>
        </w:tc>
        <w:tc>
          <w:tcPr>
            <w:tcW w:w="1468" w:type="dxa"/>
            <w:vMerge w:val="restart"/>
            <w:tcBorders>
              <w:bottom w:val="nil"/>
            </w:tcBorders>
            <w:vAlign w:val="top"/>
          </w:tcPr>
          <w:p w14:paraId="315F799A">
            <w:pPr>
              <w:spacing w:line="244" w:lineRule="auto"/>
              <w:rPr>
                <w:rFonts w:ascii="Arial"/>
                <w:sz w:val="21"/>
              </w:rPr>
            </w:pPr>
          </w:p>
          <w:p w14:paraId="1B927B23">
            <w:pPr>
              <w:spacing w:line="244" w:lineRule="auto"/>
              <w:rPr>
                <w:rFonts w:ascii="Arial"/>
                <w:sz w:val="21"/>
              </w:rPr>
            </w:pPr>
          </w:p>
          <w:p w14:paraId="66015686">
            <w:pPr>
              <w:pStyle w:val="10"/>
              <w:spacing w:before="46" w:line="233" w:lineRule="auto"/>
              <w:ind w:left="440"/>
            </w:pPr>
            <w:r>
              <w:rPr>
                <w:spacing w:val="7"/>
              </w:rPr>
              <w:t>生态影响</w:t>
            </w:r>
          </w:p>
        </w:tc>
        <w:tc>
          <w:tcPr>
            <w:tcW w:w="1465" w:type="dxa"/>
            <w:vMerge w:val="restart"/>
            <w:tcBorders>
              <w:bottom w:val="nil"/>
            </w:tcBorders>
            <w:vAlign w:val="top"/>
          </w:tcPr>
          <w:p w14:paraId="19AA6F06">
            <w:pPr>
              <w:spacing w:line="244" w:lineRule="auto"/>
              <w:rPr>
                <w:rFonts w:ascii="Arial"/>
                <w:sz w:val="21"/>
              </w:rPr>
            </w:pPr>
          </w:p>
          <w:p w14:paraId="3C415F31">
            <w:pPr>
              <w:spacing w:line="244" w:lineRule="auto"/>
              <w:rPr>
                <w:rFonts w:ascii="Arial"/>
                <w:sz w:val="21"/>
              </w:rPr>
            </w:pPr>
          </w:p>
          <w:p w14:paraId="0FB8FDBA">
            <w:pPr>
              <w:pStyle w:val="10"/>
              <w:spacing w:before="46" w:line="232" w:lineRule="auto"/>
              <w:ind w:left="436"/>
            </w:pPr>
            <w:r>
              <w:rPr>
                <w:spacing w:val="7"/>
              </w:rPr>
              <w:t>生活影响</w:t>
            </w:r>
          </w:p>
        </w:tc>
      </w:tr>
      <w:tr w14:paraId="490C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80" w:type="dxa"/>
            <w:vMerge w:val="continue"/>
            <w:tcBorders>
              <w:top w:val="nil"/>
            </w:tcBorders>
            <w:vAlign w:val="top"/>
          </w:tcPr>
          <w:p w14:paraId="7DC01040">
            <w:pPr>
              <w:rPr>
                <w:rFonts w:ascii="Arial"/>
                <w:sz w:val="21"/>
              </w:rPr>
            </w:pPr>
          </w:p>
        </w:tc>
        <w:tc>
          <w:tcPr>
            <w:tcW w:w="953" w:type="dxa"/>
            <w:vMerge w:val="continue"/>
            <w:tcBorders>
              <w:top w:val="nil"/>
            </w:tcBorders>
            <w:vAlign w:val="top"/>
          </w:tcPr>
          <w:p w14:paraId="3AACD4A2">
            <w:pPr>
              <w:rPr>
                <w:rFonts w:ascii="Arial"/>
                <w:sz w:val="21"/>
              </w:rPr>
            </w:pPr>
          </w:p>
        </w:tc>
        <w:tc>
          <w:tcPr>
            <w:tcW w:w="589" w:type="dxa"/>
            <w:vMerge w:val="continue"/>
            <w:tcBorders>
              <w:top w:val="nil"/>
            </w:tcBorders>
            <w:vAlign w:val="top"/>
          </w:tcPr>
          <w:p w14:paraId="2258469D">
            <w:pPr>
              <w:rPr>
                <w:rFonts w:ascii="Arial"/>
                <w:sz w:val="21"/>
              </w:rPr>
            </w:pPr>
          </w:p>
        </w:tc>
        <w:tc>
          <w:tcPr>
            <w:tcW w:w="1126" w:type="dxa"/>
            <w:vMerge w:val="continue"/>
            <w:tcBorders>
              <w:top w:val="nil"/>
            </w:tcBorders>
            <w:vAlign w:val="top"/>
          </w:tcPr>
          <w:p w14:paraId="535CD27E">
            <w:pPr>
              <w:rPr>
                <w:rFonts w:ascii="Arial"/>
                <w:sz w:val="21"/>
              </w:rPr>
            </w:pPr>
          </w:p>
        </w:tc>
        <w:tc>
          <w:tcPr>
            <w:tcW w:w="824" w:type="dxa"/>
            <w:vMerge w:val="continue"/>
            <w:tcBorders>
              <w:top w:val="nil"/>
            </w:tcBorders>
            <w:vAlign w:val="top"/>
          </w:tcPr>
          <w:p w14:paraId="4CEE2927">
            <w:pPr>
              <w:rPr>
                <w:rFonts w:ascii="Arial"/>
                <w:sz w:val="21"/>
              </w:rPr>
            </w:pPr>
          </w:p>
        </w:tc>
        <w:tc>
          <w:tcPr>
            <w:tcW w:w="1010" w:type="dxa"/>
            <w:vMerge w:val="continue"/>
            <w:tcBorders>
              <w:top w:val="nil"/>
            </w:tcBorders>
            <w:vAlign w:val="top"/>
          </w:tcPr>
          <w:p w14:paraId="79B6CF77">
            <w:pPr>
              <w:rPr>
                <w:rFonts w:ascii="Arial"/>
                <w:sz w:val="21"/>
              </w:rPr>
            </w:pPr>
          </w:p>
        </w:tc>
        <w:tc>
          <w:tcPr>
            <w:tcW w:w="1263" w:type="dxa"/>
            <w:vMerge w:val="continue"/>
            <w:tcBorders>
              <w:top w:val="nil"/>
            </w:tcBorders>
            <w:vAlign w:val="top"/>
          </w:tcPr>
          <w:p w14:paraId="170D2FFC">
            <w:pPr>
              <w:rPr>
                <w:rFonts w:ascii="Arial"/>
                <w:sz w:val="21"/>
              </w:rPr>
            </w:pPr>
          </w:p>
        </w:tc>
        <w:tc>
          <w:tcPr>
            <w:tcW w:w="867" w:type="dxa"/>
            <w:vAlign w:val="top"/>
          </w:tcPr>
          <w:p w14:paraId="54BC69D4">
            <w:pPr>
              <w:pStyle w:val="10"/>
              <w:spacing w:before="162" w:line="319" w:lineRule="exact"/>
              <w:ind w:left="135"/>
            </w:pPr>
            <w:r>
              <w:rPr>
                <w:spacing w:val="7"/>
                <w:position w:val="13"/>
              </w:rPr>
              <w:t>放射源种</w:t>
            </w:r>
          </w:p>
          <w:p w14:paraId="2AB556BD">
            <w:pPr>
              <w:pStyle w:val="10"/>
              <w:spacing w:line="231" w:lineRule="auto"/>
              <w:ind w:left="361"/>
            </w:pPr>
            <w:r>
              <w:rPr>
                <w:spacing w:val="3"/>
              </w:rPr>
              <w:t>类</w:t>
            </w:r>
          </w:p>
        </w:tc>
        <w:tc>
          <w:tcPr>
            <w:tcW w:w="1444" w:type="dxa"/>
            <w:vAlign w:val="top"/>
          </w:tcPr>
          <w:p w14:paraId="4584CB2A">
            <w:pPr>
              <w:spacing w:line="276" w:lineRule="auto"/>
              <w:rPr>
                <w:rFonts w:ascii="Arial"/>
                <w:sz w:val="21"/>
              </w:rPr>
            </w:pPr>
          </w:p>
          <w:p w14:paraId="5BDC5A41">
            <w:pPr>
              <w:pStyle w:val="10"/>
              <w:spacing w:before="45" w:line="231" w:lineRule="auto"/>
              <w:ind w:left="426"/>
            </w:pPr>
            <w:r>
              <w:rPr>
                <w:spacing w:val="7"/>
              </w:rPr>
              <w:t>人员伤亡</w:t>
            </w:r>
          </w:p>
        </w:tc>
        <w:tc>
          <w:tcPr>
            <w:tcW w:w="908" w:type="dxa"/>
            <w:vAlign w:val="top"/>
          </w:tcPr>
          <w:p w14:paraId="3F97A336">
            <w:pPr>
              <w:spacing w:line="276" w:lineRule="auto"/>
              <w:rPr>
                <w:rFonts w:ascii="Arial"/>
                <w:sz w:val="21"/>
              </w:rPr>
            </w:pPr>
          </w:p>
          <w:p w14:paraId="76830CE0">
            <w:pPr>
              <w:pStyle w:val="10"/>
              <w:spacing w:before="45" w:line="232" w:lineRule="auto"/>
              <w:ind w:left="157"/>
            </w:pPr>
            <w:r>
              <w:rPr>
                <w:spacing w:val="7"/>
              </w:rPr>
              <w:t>影响范围</w:t>
            </w:r>
          </w:p>
        </w:tc>
        <w:tc>
          <w:tcPr>
            <w:tcW w:w="944" w:type="dxa"/>
            <w:vAlign w:val="top"/>
          </w:tcPr>
          <w:p w14:paraId="37A45656">
            <w:pPr>
              <w:spacing w:line="276" w:lineRule="auto"/>
              <w:rPr>
                <w:rFonts w:ascii="Arial"/>
                <w:sz w:val="21"/>
              </w:rPr>
            </w:pPr>
          </w:p>
          <w:p w14:paraId="3A17483E">
            <w:pPr>
              <w:pStyle w:val="10"/>
              <w:spacing w:before="45" w:line="232" w:lineRule="auto"/>
              <w:ind w:left="327"/>
            </w:pPr>
            <w:r>
              <w:rPr>
                <w:spacing w:val="5"/>
              </w:rPr>
              <w:t>其他</w:t>
            </w:r>
          </w:p>
        </w:tc>
        <w:tc>
          <w:tcPr>
            <w:tcW w:w="1468" w:type="dxa"/>
            <w:vMerge w:val="continue"/>
            <w:tcBorders>
              <w:top w:val="nil"/>
            </w:tcBorders>
            <w:vAlign w:val="top"/>
          </w:tcPr>
          <w:p w14:paraId="3071416D">
            <w:pPr>
              <w:rPr>
                <w:rFonts w:ascii="Arial"/>
                <w:sz w:val="21"/>
              </w:rPr>
            </w:pPr>
          </w:p>
        </w:tc>
        <w:tc>
          <w:tcPr>
            <w:tcW w:w="1465" w:type="dxa"/>
            <w:vMerge w:val="continue"/>
            <w:tcBorders>
              <w:top w:val="nil"/>
            </w:tcBorders>
            <w:vAlign w:val="top"/>
          </w:tcPr>
          <w:p w14:paraId="4047EEFE">
            <w:pPr>
              <w:rPr>
                <w:rFonts w:ascii="Arial"/>
                <w:sz w:val="21"/>
              </w:rPr>
            </w:pPr>
          </w:p>
        </w:tc>
      </w:tr>
      <w:tr w14:paraId="69117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680" w:type="dxa"/>
            <w:vAlign w:val="top"/>
          </w:tcPr>
          <w:p w14:paraId="5CF43981">
            <w:pPr>
              <w:spacing w:line="278" w:lineRule="auto"/>
              <w:rPr>
                <w:rFonts w:ascii="Arial"/>
                <w:sz w:val="21"/>
              </w:rPr>
            </w:pPr>
          </w:p>
          <w:p w14:paraId="1A2A05D0">
            <w:pPr>
              <w:spacing w:line="279" w:lineRule="auto"/>
              <w:rPr>
                <w:rFonts w:ascii="Arial"/>
                <w:sz w:val="21"/>
              </w:rPr>
            </w:pPr>
          </w:p>
          <w:p w14:paraId="3B338E5A">
            <w:pPr>
              <w:pStyle w:val="10"/>
              <w:spacing w:before="45" w:line="190" w:lineRule="auto"/>
              <w:ind w:left="313"/>
            </w:pPr>
            <w:r>
              <w:t>I</w:t>
            </w:r>
          </w:p>
        </w:tc>
        <w:tc>
          <w:tcPr>
            <w:tcW w:w="953" w:type="dxa"/>
            <w:vAlign w:val="top"/>
          </w:tcPr>
          <w:p w14:paraId="5AA6ADBF">
            <w:pPr>
              <w:spacing w:line="266" w:lineRule="auto"/>
              <w:rPr>
                <w:rFonts w:ascii="Arial"/>
                <w:sz w:val="21"/>
              </w:rPr>
            </w:pPr>
          </w:p>
          <w:p w14:paraId="48A04125">
            <w:pPr>
              <w:spacing w:line="267" w:lineRule="auto"/>
              <w:rPr>
                <w:rFonts w:ascii="Arial"/>
                <w:sz w:val="21"/>
              </w:rPr>
            </w:pPr>
          </w:p>
          <w:p w14:paraId="512D6BA4">
            <w:pPr>
              <w:pStyle w:val="10"/>
              <w:spacing w:before="45" w:line="231" w:lineRule="auto"/>
              <w:ind w:left="176"/>
            </w:pPr>
            <w:r>
              <w:rPr>
                <w:spacing w:val="7"/>
              </w:rPr>
              <w:t>特别重大</w:t>
            </w:r>
          </w:p>
        </w:tc>
        <w:tc>
          <w:tcPr>
            <w:tcW w:w="589" w:type="dxa"/>
            <w:shd w:val="clear" w:color="auto" w:fill="FF0000"/>
            <w:vAlign w:val="top"/>
          </w:tcPr>
          <w:p w14:paraId="3401B9D1">
            <w:pPr>
              <w:spacing w:line="266" w:lineRule="auto"/>
              <w:rPr>
                <w:rFonts w:ascii="Arial"/>
                <w:sz w:val="21"/>
              </w:rPr>
            </w:pPr>
          </w:p>
          <w:p w14:paraId="106639F3">
            <w:pPr>
              <w:spacing w:line="267" w:lineRule="auto"/>
              <w:rPr>
                <w:rFonts w:ascii="Arial"/>
                <w:sz w:val="21"/>
              </w:rPr>
            </w:pPr>
          </w:p>
          <w:p w14:paraId="14E3BA66">
            <w:pPr>
              <w:pStyle w:val="10"/>
              <w:spacing w:before="45" w:line="241" w:lineRule="auto"/>
              <w:ind w:left="149"/>
            </w:pPr>
            <w:r>
              <w:rPr>
                <w:spacing w:val="4"/>
              </w:rPr>
              <w:t>红色</w:t>
            </w:r>
          </w:p>
        </w:tc>
        <w:tc>
          <w:tcPr>
            <w:tcW w:w="1126" w:type="dxa"/>
            <w:vAlign w:val="top"/>
          </w:tcPr>
          <w:p w14:paraId="69160A7E">
            <w:pPr>
              <w:spacing w:line="375" w:lineRule="auto"/>
              <w:rPr>
                <w:rFonts w:ascii="Arial"/>
                <w:sz w:val="21"/>
              </w:rPr>
            </w:pPr>
          </w:p>
          <w:p w14:paraId="7A268738">
            <w:pPr>
              <w:pStyle w:val="10"/>
              <w:spacing w:before="46" w:line="316" w:lineRule="exact"/>
              <w:ind w:left="391"/>
            </w:pPr>
            <w:r>
              <w:rPr>
                <w:spacing w:val="1"/>
                <w:position w:val="13"/>
              </w:rPr>
              <w:t>≥</w:t>
            </w:r>
            <w:r>
              <w:rPr>
                <w:rFonts w:ascii="Times New Roman" w:hAnsi="Times New Roman" w:eastAsia="Times New Roman" w:cs="Times New Roman"/>
                <w:spacing w:val="1"/>
                <w:position w:val="13"/>
              </w:rPr>
              <w:t>30</w:t>
            </w:r>
            <w:r>
              <w:rPr>
                <w:spacing w:val="1"/>
                <w:position w:val="13"/>
              </w:rPr>
              <w:t>/</w:t>
            </w:r>
          </w:p>
          <w:p w14:paraId="727DC5FD">
            <w:pPr>
              <w:pStyle w:val="10"/>
              <w:spacing w:line="187" w:lineRule="exact"/>
              <w:ind w:left="391"/>
              <w:rPr>
                <w:rFonts w:ascii="Times New Roman" w:hAnsi="Times New Roman" w:eastAsia="Times New Roman" w:cs="Times New Roman"/>
              </w:rPr>
            </w:pPr>
            <w:r>
              <w:rPr>
                <w:spacing w:val="1"/>
                <w:position w:val="1"/>
              </w:rPr>
              <w:t>≥</w:t>
            </w:r>
            <w:r>
              <w:rPr>
                <w:rFonts w:ascii="Times New Roman" w:hAnsi="Times New Roman" w:eastAsia="Times New Roman" w:cs="Times New Roman"/>
                <w:spacing w:val="1"/>
                <w:position w:val="1"/>
              </w:rPr>
              <w:t>100</w:t>
            </w:r>
          </w:p>
        </w:tc>
        <w:tc>
          <w:tcPr>
            <w:tcW w:w="824" w:type="dxa"/>
            <w:vAlign w:val="top"/>
          </w:tcPr>
          <w:p w14:paraId="3F7F15B4">
            <w:pPr>
              <w:spacing w:line="266" w:lineRule="auto"/>
              <w:rPr>
                <w:rFonts w:ascii="Arial"/>
                <w:sz w:val="21"/>
              </w:rPr>
            </w:pPr>
          </w:p>
          <w:p w14:paraId="7F3B4F38">
            <w:pPr>
              <w:spacing w:line="266" w:lineRule="auto"/>
              <w:rPr>
                <w:rFonts w:ascii="Arial"/>
                <w:sz w:val="21"/>
              </w:rPr>
            </w:pPr>
          </w:p>
          <w:p w14:paraId="32C5B9D0">
            <w:pPr>
              <w:pStyle w:val="10"/>
              <w:spacing w:before="46" w:line="188" w:lineRule="exact"/>
              <w:ind w:left="317"/>
              <w:rPr>
                <w:rFonts w:ascii="Times New Roman" w:hAnsi="Times New Roman" w:eastAsia="Times New Roman" w:cs="Times New Roman"/>
              </w:rPr>
            </w:pPr>
            <w:r>
              <w:rPr>
                <w:spacing w:val="-4"/>
                <w:position w:val="1"/>
              </w:rPr>
              <w:t>≥</w:t>
            </w:r>
            <w:r>
              <w:rPr>
                <w:rFonts w:ascii="Times New Roman" w:hAnsi="Times New Roman" w:eastAsia="Times New Roman" w:cs="Times New Roman"/>
                <w:spacing w:val="-4"/>
                <w:position w:val="1"/>
              </w:rPr>
              <w:t>5</w:t>
            </w:r>
          </w:p>
        </w:tc>
        <w:tc>
          <w:tcPr>
            <w:tcW w:w="1010" w:type="dxa"/>
            <w:vAlign w:val="top"/>
          </w:tcPr>
          <w:p w14:paraId="146FC091">
            <w:pPr>
              <w:spacing w:line="266" w:lineRule="auto"/>
              <w:rPr>
                <w:rFonts w:ascii="Arial"/>
                <w:sz w:val="21"/>
              </w:rPr>
            </w:pPr>
          </w:p>
          <w:p w14:paraId="0457E249">
            <w:pPr>
              <w:spacing w:line="266" w:lineRule="auto"/>
              <w:rPr>
                <w:rFonts w:ascii="Arial"/>
                <w:sz w:val="21"/>
              </w:rPr>
            </w:pPr>
          </w:p>
          <w:p w14:paraId="2149FDDF">
            <w:pPr>
              <w:pStyle w:val="10"/>
              <w:spacing w:before="46" w:line="189" w:lineRule="exact"/>
              <w:ind w:left="409"/>
              <w:rPr>
                <w:rFonts w:ascii="Times New Roman" w:hAnsi="Times New Roman" w:eastAsia="Times New Roman" w:cs="Times New Roman"/>
              </w:rPr>
            </w:pPr>
            <w:r>
              <w:rPr>
                <w:spacing w:val="-4"/>
                <w:position w:val="1"/>
              </w:rPr>
              <w:t>≥</w:t>
            </w:r>
            <w:r>
              <w:rPr>
                <w:rFonts w:ascii="Times New Roman" w:hAnsi="Times New Roman" w:eastAsia="Times New Roman" w:cs="Times New Roman"/>
                <w:spacing w:val="-4"/>
                <w:position w:val="1"/>
              </w:rPr>
              <w:t>1</w:t>
            </w:r>
          </w:p>
        </w:tc>
        <w:tc>
          <w:tcPr>
            <w:tcW w:w="1263" w:type="dxa"/>
            <w:vAlign w:val="top"/>
          </w:tcPr>
          <w:p w14:paraId="65087C9B">
            <w:pPr>
              <w:spacing w:line="266" w:lineRule="auto"/>
              <w:rPr>
                <w:rFonts w:ascii="Arial"/>
                <w:sz w:val="21"/>
              </w:rPr>
            </w:pPr>
          </w:p>
          <w:p w14:paraId="6D4D2DEB">
            <w:pPr>
              <w:spacing w:line="266" w:lineRule="auto"/>
              <w:rPr>
                <w:rFonts w:ascii="Arial"/>
                <w:sz w:val="21"/>
              </w:rPr>
            </w:pPr>
          </w:p>
          <w:p w14:paraId="23EA89B6">
            <w:pPr>
              <w:pStyle w:val="10"/>
              <w:spacing w:before="46" w:line="232" w:lineRule="auto"/>
              <w:ind w:left="110"/>
            </w:pPr>
            <w:r>
              <w:rPr>
                <w:spacing w:val="7"/>
              </w:rPr>
              <w:t>跨国境</w:t>
            </w:r>
          </w:p>
        </w:tc>
        <w:tc>
          <w:tcPr>
            <w:tcW w:w="867" w:type="dxa"/>
            <w:vAlign w:val="top"/>
          </w:tcPr>
          <w:p w14:paraId="524239DA">
            <w:pPr>
              <w:spacing w:line="266" w:lineRule="auto"/>
              <w:rPr>
                <w:rFonts w:ascii="Arial"/>
                <w:sz w:val="21"/>
              </w:rPr>
            </w:pPr>
          </w:p>
          <w:p w14:paraId="69A7CF00">
            <w:pPr>
              <w:spacing w:line="267" w:lineRule="auto"/>
              <w:rPr>
                <w:rFonts w:ascii="Arial"/>
                <w:sz w:val="21"/>
              </w:rPr>
            </w:pPr>
          </w:p>
          <w:p w14:paraId="5AD3F726">
            <w:pPr>
              <w:pStyle w:val="10"/>
              <w:spacing w:before="45" w:line="231" w:lineRule="auto"/>
              <w:ind w:left="163"/>
            </w:pPr>
            <w:r>
              <w:rPr>
                <w:spacing w:val="4"/>
              </w:rPr>
              <w:t>I、</w:t>
            </w:r>
            <w:r>
              <w:t>II</w:t>
            </w:r>
            <w:r>
              <w:rPr>
                <w:spacing w:val="4"/>
              </w:rPr>
              <w:t>类</w:t>
            </w:r>
          </w:p>
        </w:tc>
        <w:tc>
          <w:tcPr>
            <w:tcW w:w="1444" w:type="dxa"/>
            <w:vAlign w:val="top"/>
          </w:tcPr>
          <w:p w14:paraId="49EE5DAA">
            <w:pPr>
              <w:spacing w:line="266" w:lineRule="auto"/>
              <w:rPr>
                <w:rFonts w:ascii="Arial"/>
                <w:sz w:val="21"/>
              </w:rPr>
            </w:pPr>
          </w:p>
          <w:p w14:paraId="77215358">
            <w:pPr>
              <w:spacing w:line="266" w:lineRule="auto"/>
              <w:rPr>
                <w:rFonts w:ascii="Arial"/>
                <w:sz w:val="21"/>
              </w:rPr>
            </w:pPr>
          </w:p>
          <w:p w14:paraId="01D1CE3A">
            <w:pPr>
              <w:pStyle w:val="10"/>
              <w:spacing w:before="46" w:line="233" w:lineRule="auto"/>
              <w:ind w:left="111"/>
            </w:pPr>
            <w:r>
              <w:rPr>
                <w:rFonts w:ascii="Times New Roman" w:hAnsi="Times New Roman" w:eastAsia="Times New Roman" w:cs="Times New Roman"/>
                <w:spacing w:val="7"/>
              </w:rPr>
              <w:t>3</w:t>
            </w:r>
            <w:r>
              <w:rPr>
                <w:spacing w:val="7"/>
              </w:rPr>
              <w:t>人以上急性死亡</w:t>
            </w:r>
          </w:p>
        </w:tc>
        <w:tc>
          <w:tcPr>
            <w:tcW w:w="908" w:type="dxa"/>
            <w:vAlign w:val="top"/>
          </w:tcPr>
          <w:p w14:paraId="0E9747B9">
            <w:pPr>
              <w:spacing w:line="266" w:lineRule="auto"/>
              <w:rPr>
                <w:rFonts w:ascii="Arial"/>
                <w:sz w:val="21"/>
              </w:rPr>
            </w:pPr>
          </w:p>
          <w:p w14:paraId="7F7FFE79">
            <w:pPr>
              <w:spacing w:line="266" w:lineRule="auto"/>
              <w:rPr>
                <w:rFonts w:ascii="Arial"/>
                <w:sz w:val="21"/>
              </w:rPr>
            </w:pPr>
          </w:p>
          <w:p w14:paraId="6709928A">
            <w:pPr>
              <w:pStyle w:val="10"/>
              <w:spacing w:before="46" w:line="232" w:lineRule="auto"/>
              <w:ind w:left="113"/>
            </w:pPr>
            <w:r>
              <w:rPr>
                <w:spacing w:val="7"/>
              </w:rPr>
              <w:t>大范围</w:t>
            </w:r>
          </w:p>
        </w:tc>
        <w:tc>
          <w:tcPr>
            <w:tcW w:w="944" w:type="dxa"/>
            <w:vAlign w:val="top"/>
          </w:tcPr>
          <w:p w14:paraId="112EFF6B">
            <w:pPr>
              <w:spacing w:line="266" w:lineRule="auto"/>
              <w:rPr>
                <w:rFonts w:ascii="Arial"/>
                <w:sz w:val="21"/>
              </w:rPr>
            </w:pPr>
          </w:p>
          <w:p w14:paraId="69EC0885">
            <w:pPr>
              <w:spacing w:line="267" w:lineRule="auto"/>
              <w:rPr>
                <w:rFonts w:ascii="Arial"/>
                <w:sz w:val="21"/>
              </w:rPr>
            </w:pPr>
          </w:p>
          <w:p w14:paraId="77FE2658">
            <w:pPr>
              <w:pStyle w:val="10"/>
              <w:spacing w:before="45" w:line="236" w:lineRule="auto"/>
              <w:ind w:left="437"/>
            </w:pPr>
            <w:r>
              <w:t>/</w:t>
            </w:r>
          </w:p>
        </w:tc>
        <w:tc>
          <w:tcPr>
            <w:tcW w:w="1468" w:type="dxa"/>
            <w:vAlign w:val="top"/>
          </w:tcPr>
          <w:p w14:paraId="1EA1151F">
            <w:pPr>
              <w:pStyle w:val="10"/>
              <w:spacing w:before="264" w:line="418" w:lineRule="auto"/>
              <w:ind w:left="114" w:right="103" w:firstLine="9"/>
              <w:jc w:val="both"/>
            </w:pPr>
            <w:r>
              <w:rPr>
                <w:spacing w:val="14"/>
              </w:rPr>
              <w:t>区域生态功能丧失</w:t>
            </w:r>
            <w:r>
              <w:rPr>
                <w:spacing w:val="15"/>
              </w:rPr>
              <w:t>或该区域国家重点</w:t>
            </w:r>
          </w:p>
          <w:p w14:paraId="2977D728">
            <w:pPr>
              <w:pStyle w:val="10"/>
              <w:spacing w:line="231" w:lineRule="auto"/>
              <w:ind w:left="113"/>
            </w:pPr>
            <w:r>
              <w:rPr>
                <w:spacing w:val="8"/>
              </w:rPr>
              <w:t>保护物种灭绝</w:t>
            </w:r>
          </w:p>
        </w:tc>
        <w:tc>
          <w:tcPr>
            <w:tcW w:w="1465" w:type="dxa"/>
            <w:vAlign w:val="top"/>
          </w:tcPr>
          <w:p w14:paraId="7A97A97C">
            <w:pPr>
              <w:pStyle w:val="10"/>
              <w:spacing w:before="264" w:line="418" w:lineRule="auto"/>
              <w:ind w:left="116" w:right="108" w:hanging="1"/>
              <w:jc w:val="both"/>
            </w:pPr>
            <w:r>
              <w:rPr>
                <w:spacing w:val="14"/>
              </w:rPr>
              <w:t>设区的市级以上城市集中式饮用水水</w:t>
            </w:r>
          </w:p>
          <w:p w14:paraId="4603F044">
            <w:pPr>
              <w:pStyle w:val="10"/>
              <w:spacing w:line="231" w:lineRule="auto"/>
              <w:ind w:left="113"/>
            </w:pPr>
            <w:r>
              <w:rPr>
                <w:spacing w:val="8"/>
              </w:rPr>
              <w:t>源地取水中断</w:t>
            </w:r>
          </w:p>
        </w:tc>
      </w:tr>
      <w:tr w14:paraId="0EDCC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Align w:val="top"/>
          </w:tcPr>
          <w:p w14:paraId="2E52024E">
            <w:pPr>
              <w:spacing w:line="298" w:lineRule="auto"/>
              <w:rPr>
                <w:rFonts w:ascii="Arial"/>
                <w:sz w:val="21"/>
              </w:rPr>
            </w:pPr>
          </w:p>
          <w:p w14:paraId="080299FF">
            <w:pPr>
              <w:spacing w:line="298" w:lineRule="auto"/>
              <w:rPr>
                <w:rFonts w:ascii="Arial"/>
                <w:sz w:val="21"/>
              </w:rPr>
            </w:pPr>
          </w:p>
          <w:p w14:paraId="4385C1C0">
            <w:pPr>
              <w:pStyle w:val="10"/>
              <w:spacing w:before="46" w:line="190" w:lineRule="auto"/>
              <w:ind w:left="277"/>
            </w:pPr>
            <w:r>
              <w:rPr>
                <w:spacing w:val="-3"/>
              </w:rPr>
              <w:t>II</w:t>
            </w:r>
          </w:p>
        </w:tc>
        <w:tc>
          <w:tcPr>
            <w:tcW w:w="953" w:type="dxa"/>
            <w:vAlign w:val="top"/>
          </w:tcPr>
          <w:p w14:paraId="1047AB6B">
            <w:pPr>
              <w:spacing w:line="286" w:lineRule="auto"/>
              <w:rPr>
                <w:rFonts w:ascii="Arial"/>
                <w:sz w:val="21"/>
              </w:rPr>
            </w:pPr>
          </w:p>
          <w:p w14:paraId="7F83E9F4">
            <w:pPr>
              <w:spacing w:line="286" w:lineRule="auto"/>
              <w:rPr>
                <w:rFonts w:ascii="Arial"/>
                <w:sz w:val="21"/>
              </w:rPr>
            </w:pPr>
          </w:p>
          <w:p w14:paraId="44C440FE">
            <w:pPr>
              <w:pStyle w:val="10"/>
              <w:spacing w:before="46" w:line="232" w:lineRule="auto"/>
              <w:ind w:left="328"/>
            </w:pPr>
            <w:r>
              <w:rPr>
                <w:spacing w:val="5"/>
              </w:rPr>
              <w:t>重大</w:t>
            </w:r>
          </w:p>
        </w:tc>
        <w:tc>
          <w:tcPr>
            <w:tcW w:w="589" w:type="dxa"/>
            <w:shd w:val="clear" w:color="auto" w:fill="F7860C"/>
            <w:vAlign w:val="top"/>
          </w:tcPr>
          <w:p w14:paraId="3EB198A7">
            <w:pPr>
              <w:spacing w:line="286" w:lineRule="auto"/>
              <w:rPr>
                <w:rFonts w:ascii="Arial"/>
                <w:sz w:val="21"/>
              </w:rPr>
            </w:pPr>
          </w:p>
          <w:p w14:paraId="770581CB">
            <w:pPr>
              <w:spacing w:line="287" w:lineRule="auto"/>
              <w:rPr>
                <w:rFonts w:ascii="Arial"/>
                <w:sz w:val="21"/>
              </w:rPr>
            </w:pPr>
          </w:p>
          <w:p w14:paraId="68441787">
            <w:pPr>
              <w:pStyle w:val="10"/>
              <w:spacing w:before="45" w:line="230" w:lineRule="auto"/>
              <w:ind w:left="144"/>
            </w:pPr>
            <w:r>
              <w:rPr>
                <w:spacing w:val="6"/>
              </w:rPr>
              <w:t>橙色</w:t>
            </w:r>
          </w:p>
        </w:tc>
        <w:tc>
          <w:tcPr>
            <w:tcW w:w="1126" w:type="dxa"/>
            <w:vAlign w:val="top"/>
          </w:tcPr>
          <w:p w14:paraId="59C19661">
            <w:pPr>
              <w:spacing w:line="415" w:lineRule="auto"/>
              <w:rPr>
                <w:rFonts w:ascii="Arial"/>
                <w:sz w:val="21"/>
              </w:rPr>
            </w:pPr>
          </w:p>
          <w:p w14:paraId="019FD641">
            <w:pPr>
              <w:pStyle w:val="10"/>
              <w:spacing w:before="45" w:line="317" w:lineRule="exact"/>
              <w:ind w:left="287"/>
            </w:pPr>
            <w:r>
              <w:rPr>
                <w:spacing w:val="1"/>
                <w:position w:val="13"/>
              </w:rPr>
              <w:t>[</w:t>
            </w:r>
            <w:r>
              <w:rPr>
                <w:rFonts w:ascii="Times New Roman" w:hAnsi="Times New Roman" w:eastAsia="Times New Roman" w:cs="Times New Roman"/>
                <w:spacing w:val="1"/>
                <w:position w:val="13"/>
              </w:rPr>
              <w:t>10</w:t>
            </w:r>
            <w:r>
              <w:rPr>
                <w:spacing w:val="1"/>
                <w:position w:val="13"/>
              </w:rPr>
              <w:t>,</w:t>
            </w:r>
            <w:r>
              <w:rPr>
                <w:rFonts w:ascii="Times New Roman" w:hAnsi="Times New Roman" w:eastAsia="Times New Roman" w:cs="Times New Roman"/>
                <w:spacing w:val="1"/>
                <w:position w:val="13"/>
              </w:rPr>
              <w:t>30</w:t>
            </w:r>
            <w:r>
              <w:rPr>
                <w:spacing w:val="1"/>
                <w:position w:val="13"/>
              </w:rPr>
              <w:t>)/</w:t>
            </w:r>
          </w:p>
          <w:p w14:paraId="23BA8914">
            <w:pPr>
              <w:pStyle w:val="10"/>
              <w:spacing w:line="228" w:lineRule="auto"/>
              <w:ind w:left="287"/>
            </w:pPr>
            <w:r>
              <w:rPr>
                <w:spacing w:val="1"/>
              </w:rPr>
              <w:t>[</w:t>
            </w:r>
            <w:r>
              <w:rPr>
                <w:rFonts w:ascii="Times New Roman" w:hAnsi="Times New Roman" w:eastAsia="Times New Roman" w:cs="Times New Roman"/>
                <w:spacing w:val="1"/>
              </w:rPr>
              <w:t>50</w:t>
            </w:r>
            <w:r>
              <w:rPr>
                <w:spacing w:val="1"/>
              </w:rPr>
              <w:t>,</w:t>
            </w:r>
            <w:r>
              <w:rPr>
                <w:rFonts w:ascii="Times New Roman" w:hAnsi="Times New Roman" w:eastAsia="Times New Roman" w:cs="Times New Roman"/>
                <w:spacing w:val="1"/>
              </w:rPr>
              <w:t>100</w:t>
            </w:r>
            <w:r>
              <w:rPr>
                <w:spacing w:val="1"/>
              </w:rPr>
              <w:t>)</w:t>
            </w:r>
          </w:p>
        </w:tc>
        <w:tc>
          <w:tcPr>
            <w:tcW w:w="824" w:type="dxa"/>
            <w:vAlign w:val="top"/>
          </w:tcPr>
          <w:p w14:paraId="06616BA3">
            <w:pPr>
              <w:spacing w:line="286" w:lineRule="auto"/>
              <w:rPr>
                <w:rFonts w:ascii="Arial"/>
                <w:sz w:val="21"/>
              </w:rPr>
            </w:pPr>
          </w:p>
          <w:p w14:paraId="00B081DF">
            <w:pPr>
              <w:spacing w:line="286" w:lineRule="auto"/>
              <w:rPr>
                <w:rFonts w:ascii="Arial"/>
                <w:sz w:val="21"/>
              </w:rPr>
            </w:pPr>
          </w:p>
          <w:p w14:paraId="57055BC9">
            <w:pPr>
              <w:pStyle w:val="10"/>
              <w:spacing w:before="46" w:line="234" w:lineRule="auto"/>
              <w:ind w:left="212"/>
            </w:pPr>
            <w:r>
              <w:rPr>
                <w:spacing w:val="-4"/>
              </w:rPr>
              <w:t>[</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5</w:t>
            </w:r>
            <w:r>
              <w:rPr>
                <w:spacing w:val="-4"/>
              </w:rPr>
              <w:t>)</w:t>
            </w:r>
          </w:p>
        </w:tc>
        <w:tc>
          <w:tcPr>
            <w:tcW w:w="1010" w:type="dxa"/>
            <w:vAlign w:val="top"/>
          </w:tcPr>
          <w:p w14:paraId="67F70483">
            <w:pPr>
              <w:spacing w:line="286" w:lineRule="auto"/>
              <w:rPr>
                <w:rFonts w:ascii="Arial"/>
                <w:sz w:val="21"/>
              </w:rPr>
            </w:pPr>
          </w:p>
          <w:p w14:paraId="4CC85351">
            <w:pPr>
              <w:spacing w:line="286" w:lineRule="auto"/>
              <w:rPr>
                <w:rFonts w:ascii="Arial"/>
                <w:sz w:val="21"/>
              </w:rPr>
            </w:pPr>
          </w:p>
          <w:p w14:paraId="461850E2">
            <w:pPr>
              <w:pStyle w:val="10"/>
              <w:spacing w:before="46" w:line="228" w:lineRule="auto"/>
              <w:ind w:left="231"/>
            </w:pPr>
            <w:r>
              <w:rPr>
                <w:spacing w:val="-1"/>
              </w:rPr>
              <w:t>[</w:t>
            </w:r>
            <w:r>
              <w:rPr>
                <w:rFonts w:ascii="Times New Roman" w:hAnsi="Times New Roman" w:eastAsia="Times New Roman" w:cs="Times New Roman"/>
                <w:spacing w:val="-1"/>
              </w:rPr>
              <w:t>0</w:t>
            </w:r>
            <w:r>
              <w:rPr>
                <w:spacing w:val="-1"/>
              </w:rPr>
              <w:t>.</w:t>
            </w:r>
            <w:r>
              <w:rPr>
                <w:rFonts w:ascii="Times New Roman" w:hAnsi="Times New Roman" w:eastAsia="Times New Roman" w:cs="Times New Roman"/>
                <w:spacing w:val="-1"/>
              </w:rPr>
              <w:t>2</w:t>
            </w:r>
            <w:r>
              <w:rPr>
                <w:spacing w:val="-1"/>
              </w:rPr>
              <w:t>,</w:t>
            </w:r>
            <w:r>
              <w:rPr>
                <w:rFonts w:ascii="Times New Roman" w:hAnsi="Times New Roman" w:eastAsia="Times New Roman" w:cs="Times New Roman"/>
                <w:spacing w:val="-1"/>
              </w:rPr>
              <w:t>1</w:t>
            </w:r>
            <w:r>
              <w:rPr>
                <w:spacing w:val="-1"/>
              </w:rPr>
              <w:t>）</w:t>
            </w:r>
          </w:p>
        </w:tc>
        <w:tc>
          <w:tcPr>
            <w:tcW w:w="1263" w:type="dxa"/>
            <w:vAlign w:val="top"/>
          </w:tcPr>
          <w:p w14:paraId="79A09B9E">
            <w:pPr>
              <w:spacing w:line="415" w:lineRule="auto"/>
              <w:rPr>
                <w:rFonts w:ascii="Arial"/>
                <w:sz w:val="21"/>
              </w:rPr>
            </w:pPr>
          </w:p>
          <w:p w14:paraId="65108B32">
            <w:pPr>
              <w:pStyle w:val="10"/>
              <w:spacing w:before="45" w:line="317" w:lineRule="exact"/>
              <w:ind w:left="110"/>
            </w:pPr>
            <w:r>
              <w:rPr>
                <w:spacing w:val="1"/>
                <w:position w:val="13"/>
              </w:rPr>
              <w:t>跨省级行政区</w:t>
            </w:r>
          </w:p>
          <w:p w14:paraId="5D1FFE92">
            <w:pPr>
              <w:pStyle w:val="10"/>
              <w:spacing w:line="231" w:lineRule="auto"/>
              <w:ind w:left="110"/>
            </w:pPr>
            <w:r>
              <w:rPr>
                <w:spacing w:val="2"/>
              </w:rPr>
              <w:t>域</w:t>
            </w:r>
          </w:p>
        </w:tc>
        <w:tc>
          <w:tcPr>
            <w:tcW w:w="867" w:type="dxa"/>
            <w:vAlign w:val="top"/>
          </w:tcPr>
          <w:p w14:paraId="2F6315C0">
            <w:pPr>
              <w:spacing w:line="286" w:lineRule="auto"/>
              <w:rPr>
                <w:rFonts w:ascii="Arial"/>
                <w:sz w:val="21"/>
              </w:rPr>
            </w:pPr>
          </w:p>
          <w:p w14:paraId="26E71CA8">
            <w:pPr>
              <w:spacing w:line="286" w:lineRule="auto"/>
              <w:rPr>
                <w:rFonts w:ascii="Arial"/>
                <w:sz w:val="21"/>
              </w:rPr>
            </w:pPr>
          </w:p>
          <w:p w14:paraId="075EBBE3">
            <w:pPr>
              <w:pStyle w:val="10"/>
              <w:spacing w:before="46" w:line="231" w:lineRule="auto"/>
              <w:ind w:left="163"/>
            </w:pPr>
            <w:r>
              <w:rPr>
                <w:spacing w:val="4"/>
              </w:rPr>
              <w:t>I、</w:t>
            </w:r>
            <w:r>
              <w:t>II</w:t>
            </w:r>
            <w:r>
              <w:rPr>
                <w:spacing w:val="4"/>
              </w:rPr>
              <w:t>类</w:t>
            </w:r>
          </w:p>
        </w:tc>
        <w:tc>
          <w:tcPr>
            <w:tcW w:w="1444" w:type="dxa"/>
            <w:vAlign w:val="top"/>
          </w:tcPr>
          <w:p w14:paraId="1FF594D1">
            <w:pPr>
              <w:pStyle w:val="10"/>
              <w:spacing w:before="145" w:line="418" w:lineRule="auto"/>
              <w:ind w:left="112" w:right="104" w:hanging="1"/>
              <w:jc w:val="both"/>
            </w:pPr>
            <w:r>
              <w:rPr>
                <w:rFonts w:ascii="Times New Roman" w:hAnsi="Times New Roman" w:eastAsia="Times New Roman" w:cs="Times New Roman"/>
                <w:spacing w:val="14"/>
              </w:rPr>
              <w:t>3</w:t>
            </w:r>
            <w:r>
              <w:rPr>
                <w:spacing w:val="14"/>
              </w:rPr>
              <w:t>人以下急性死亡</w:t>
            </w:r>
            <w:r>
              <w:rPr>
                <w:spacing w:val="11"/>
              </w:rPr>
              <w:t>或者</w:t>
            </w:r>
            <w:r>
              <w:rPr>
                <w:rFonts w:ascii="Times New Roman" w:hAnsi="Times New Roman" w:eastAsia="Times New Roman" w:cs="Times New Roman"/>
                <w:spacing w:val="11"/>
              </w:rPr>
              <w:t>10</w:t>
            </w:r>
            <w:r>
              <w:rPr>
                <w:spacing w:val="11"/>
              </w:rPr>
              <w:t>人以上急</w:t>
            </w:r>
            <w:r>
              <w:rPr>
                <w:spacing w:val="12"/>
              </w:rPr>
              <w:t>性重度放射病、局</w:t>
            </w:r>
          </w:p>
          <w:p w14:paraId="657E43D7">
            <w:pPr>
              <w:pStyle w:val="10"/>
              <w:spacing w:line="231" w:lineRule="auto"/>
              <w:ind w:left="113"/>
            </w:pPr>
            <w:r>
              <w:rPr>
                <w:spacing w:val="6"/>
              </w:rPr>
              <w:t>部器官残疾；</w:t>
            </w:r>
          </w:p>
        </w:tc>
        <w:tc>
          <w:tcPr>
            <w:tcW w:w="908" w:type="dxa"/>
            <w:vAlign w:val="top"/>
          </w:tcPr>
          <w:p w14:paraId="7AEDF631">
            <w:pPr>
              <w:spacing w:line="286" w:lineRule="auto"/>
              <w:rPr>
                <w:rFonts w:ascii="Arial"/>
                <w:sz w:val="21"/>
              </w:rPr>
            </w:pPr>
          </w:p>
          <w:p w14:paraId="19DD9B80">
            <w:pPr>
              <w:spacing w:line="286" w:lineRule="auto"/>
              <w:rPr>
                <w:rFonts w:ascii="Arial"/>
                <w:sz w:val="21"/>
              </w:rPr>
            </w:pPr>
          </w:p>
          <w:p w14:paraId="2D9E840F">
            <w:pPr>
              <w:pStyle w:val="10"/>
              <w:spacing w:before="46" w:line="232" w:lineRule="auto"/>
              <w:ind w:left="112"/>
            </w:pPr>
            <w:r>
              <w:rPr>
                <w:spacing w:val="7"/>
              </w:rPr>
              <w:t>较大范围</w:t>
            </w:r>
          </w:p>
        </w:tc>
        <w:tc>
          <w:tcPr>
            <w:tcW w:w="944" w:type="dxa"/>
            <w:vAlign w:val="top"/>
          </w:tcPr>
          <w:p w14:paraId="00CCC980">
            <w:pPr>
              <w:spacing w:line="286" w:lineRule="auto"/>
              <w:rPr>
                <w:rFonts w:ascii="Arial"/>
                <w:sz w:val="21"/>
              </w:rPr>
            </w:pPr>
          </w:p>
          <w:p w14:paraId="0A1F3983">
            <w:pPr>
              <w:spacing w:line="286" w:lineRule="auto"/>
              <w:rPr>
                <w:rFonts w:ascii="Arial"/>
                <w:sz w:val="21"/>
              </w:rPr>
            </w:pPr>
          </w:p>
          <w:p w14:paraId="3D9ECB78">
            <w:pPr>
              <w:pStyle w:val="10"/>
              <w:spacing w:before="46" w:line="236" w:lineRule="auto"/>
              <w:ind w:left="437"/>
            </w:pPr>
            <w:r>
              <w:t>/</w:t>
            </w:r>
          </w:p>
        </w:tc>
        <w:tc>
          <w:tcPr>
            <w:tcW w:w="1468" w:type="dxa"/>
            <w:vAlign w:val="top"/>
          </w:tcPr>
          <w:p w14:paraId="34FF6228">
            <w:pPr>
              <w:pStyle w:val="10"/>
              <w:spacing w:before="145" w:line="418" w:lineRule="auto"/>
              <w:ind w:left="112" w:right="103" w:firstLine="11"/>
              <w:jc w:val="both"/>
            </w:pPr>
            <w:r>
              <w:rPr>
                <w:spacing w:val="14"/>
              </w:rPr>
              <w:t>区域生态功能部分</w:t>
            </w:r>
            <w:r>
              <w:rPr>
                <w:spacing w:val="15"/>
              </w:rPr>
              <w:t>丧失或该区域国家重点保护野生动植</w:t>
            </w:r>
          </w:p>
          <w:p w14:paraId="6B5AF759">
            <w:pPr>
              <w:pStyle w:val="10"/>
              <w:spacing w:line="231" w:lineRule="auto"/>
              <w:ind w:left="112"/>
            </w:pPr>
            <w:r>
              <w:rPr>
                <w:spacing w:val="9"/>
              </w:rPr>
              <w:t>物种群大批死亡</w:t>
            </w:r>
          </w:p>
        </w:tc>
        <w:tc>
          <w:tcPr>
            <w:tcW w:w="1465" w:type="dxa"/>
            <w:vAlign w:val="top"/>
          </w:tcPr>
          <w:p w14:paraId="5FD5618A">
            <w:pPr>
              <w:spacing w:line="257" w:lineRule="auto"/>
              <w:rPr>
                <w:rFonts w:ascii="Arial"/>
                <w:sz w:val="21"/>
              </w:rPr>
            </w:pPr>
          </w:p>
          <w:p w14:paraId="1C00224D">
            <w:pPr>
              <w:pStyle w:val="10"/>
              <w:spacing w:before="45" w:line="418" w:lineRule="auto"/>
              <w:ind w:left="126" w:right="108" w:hanging="2"/>
              <w:jc w:val="both"/>
            </w:pPr>
            <w:r>
              <w:rPr>
                <w:spacing w:val="9"/>
              </w:rPr>
              <w:t>区（县）级城市集</w:t>
            </w:r>
            <w:r>
              <w:rPr>
                <w:spacing w:val="12"/>
              </w:rPr>
              <w:t>中式饮用水水源地</w:t>
            </w:r>
          </w:p>
          <w:p w14:paraId="7BD61700">
            <w:pPr>
              <w:pStyle w:val="10"/>
              <w:spacing w:line="231" w:lineRule="auto"/>
              <w:ind w:left="115"/>
            </w:pPr>
            <w:r>
              <w:rPr>
                <w:spacing w:val="7"/>
              </w:rPr>
              <w:t>取水中断</w:t>
            </w:r>
          </w:p>
        </w:tc>
      </w:tr>
      <w:tr w14:paraId="484B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Align w:val="top"/>
          </w:tcPr>
          <w:p w14:paraId="13F4EE75">
            <w:pPr>
              <w:spacing w:line="298" w:lineRule="auto"/>
              <w:rPr>
                <w:rFonts w:ascii="Arial"/>
                <w:sz w:val="21"/>
              </w:rPr>
            </w:pPr>
          </w:p>
          <w:p w14:paraId="7A0EB49B">
            <w:pPr>
              <w:spacing w:line="299" w:lineRule="auto"/>
              <w:rPr>
                <w:rFonts w:ascii="Arial"/>
                <w:sz w:val="21"/>
              </w:rPr>
            </w:pPr>
          </w:p>
          <w:p w14:paraId="5C73B227">
            <w:pPr>
              <w:pStyle w:val="10"/>
              <w:spacing w:before="46" w:line="190" w:lineRule="auto"/>
              <w:ind w:left="238"/>
            </w:pPr>
            <w:r>
              <w:rPr>
                <w:spacing w:val="-1"/>
              </w:rPr>
              <w:t>III</w:t>
            </w:r>
          </w:p>
        </w:tc>
        <w:tc>
          <w:tcPr>
            <w:tcW w:w="953" w:type="dxa"/>
            <w:vAlign w:val="top"/>
          </w:tcPr>
          <w:p w14:paraId="5B6DE76A">
            <w:pPr>
              <w:spacing w:line="286" w:lineRule="auto"/>
              <w:rPr>
                <w:rFonts w:ascii="Arial"/>
                <w:sz w:val="21"/>
              </w:rPr>
            </w:pPr>
          </w:p>
          <w:p w14:paraId="5CBA870E">
            <w:pPr>
              <w:spacing w:line="287" w:lineRule="auto"/>
              <w:rPr>
                <w:rFonts w:ascii="Arial"/>
                <w:sz w:val="21"/>
              </w:rPr>
            </w:pPr>
          </w:p>
          <w:p w14:paraId="14214D6A">
            <w:pPr>
              <w:pStyle w:val="10"/>
              <w:spacing w:before="45" w:line="232" w:lineRule="auto"/>
              <w:ind w:left="328"/>
            </w:pPr>
            <w:r>
              <w:rPr>
                <w:spacing w:val="5"/>
              </w:rPr>
              <w:t>较大</w:t>
            </w:r>
          </w:p>
        </w:tc>
        <w:tc>
          <w:tcPr>
            <w:tcW w:w="589" w:type="dxa"/>
            <w:shd w:val="clear" w:color="auto" w:fill="FFFF00"/>
            <w:vAlign w:val="top"/>
          </w:tcPr>
          <w:p w14:paraId="437FEEFA">
            <w:pPr>
              <w:spacing w:line="286" w:lineRule="auto"/>
              <w:rPr>
                <w:rFonts w:ascii="Arial"/>
                <w:sz w:val="21"/>
              </w:rPr>
            </w:pPr>
          </w:p>
          <w:p w14:paraId="22033548">
            <w:pPr>
              <w:spacing w:line="287" w:lineRule="auto"/>
              <w:rPr>
                <w:rFonts w:ascii="Arial"/>
                <w:sz w:val="21"/>
              </w:rPr>
            </w:pPr>
          </w:p>
          <w:p w14:paraId="06BF7ACC">
            <w:pPr>
              <w:pStyle w:val="10"/>
              <w:spacing w:before="46" w:line="231" w:lineRule="auto"/>
              <w:ind w:left="144"/>
            </w:pPr>
            <w:r>
              <w:rPr>
                <w:spacing w:val="6"/>
              </w:rPr>
              <w:t>黄色</w:t>
            </w:r>
          </w:p>
        </w:tc>
        <w:tc>
          <w:tcPr>
            <w:tcW w:w="1126" w:type="dxa"/>
            <w:vAlign w:val="top"/>
          </w:tcPr>
          <w:p w14:paraId="193193A5">
            <w:pPr>
              <w:spacing w:line="416" w:lineRule="auto"/>
              <w:rPr>
                <w:rFonts w:ascii="Arial"/>
                <w:sz w:val="21"/>
              </w:rPr>
            </w:pPr>
          </w:p>
          <w:p w14:paraId="272EA0DC">
            <w:pPr>
              <w:pStyle w:val="10"/>
              <w:spacing w:before="45" w:line="317" w:lineRule="exact"/>
              <w:ind w:left="326"/>
            </w:pPr>
            <w:r>
              <w:rPr>
                <w:position w:val="13"/>
              </w:rPr>
              <w:t>[</w:t>
            </w:r>
            <w:r>
              <w:rPr>
                <w:rFonts w:ascii="Times New Roman" w:hAnsi="Times New Roman" w:eastAsia="Times New Roman" w:cs="Times New Roman"/>
                <w:position w:val="13"/>
              </w:rPr>
              <w:t>3</w:t>
            </w:r>
            <w:r>
              <w:rPr>
                <w:position w:val="13"/>
              </w:rPr>
              <w:t>,</w:t>
            </w:r>
            <w:r>
              <w:rPr>
                <w:rFonts w:ascii="Times New Roman" w:hAnsi="Times New Roman" w:eastAsia="Times New Roman" w:cs="Times New Roman"/>
                <w:position w:val="13"/>
              </w:rPr>
              <w:t>10</w:t>
            </w:r>
            <w:r>
              <w:rPr>
                <w:position w:val="13"/>
              </w:rPr>
              <w:t>)/</w:t>
            </w:r>
          </w:p>
          <w:p w14:paraId="6ED0CE17">
            <w:pPr>
              <w:pStyle w:val="10"/>
              <w:spacing w:line="228" w:lineRule="auto"/>
              <w:ind w:left="326"/>
            </w:pPr>
            <w:r>
              <w:t>[</w:t>
            </w:r>
            <w:r>
              <w:rPr>
                <w:rFonts w:ascii="Times New Roman" w:hAnsi="Times New Roman" w:eastAsia="Times New Roman" w:cs="Times New Roman"/>
              </w:rPr>
              <w:t>10</w:t>
            </w:r>
            <w:r>
              <w:t>,</w:t>
            </w:r>
            <w:r>
              <w:rPr>
                <w:rFonts w:ascii="Times New Roman" w:hAnsi="Times New Roman" w:eastAsia="Times New Roman" w:cs="Times New Roman"/>
              </w:rPr>
              <w:t>50</w:t>
            </w:r>
            <w:r>
              <w:t>)</w:t>
            </w:r>
          </w:p>
        </w:tc>
        <w:tc>
          <w:tcPr>
            <w:tcW w:w="824" w:type="dxa"/>
            <w:vAlign w:val="top"/>
          </w:tcPr>
          <w:p w14:paraId="12E6281D">
            <w:pPr>
              <w:spacing w:line="286" w:lineRule="auto"/>
              <w:rPr>
                <w:rFonts w:ascii="Arial"/>
                <w:sz w:val="21"/>
              </w:rPr>
            </w:pPr>
          </w:p>
          <w:p w14:paraId="434A917F">
            <w:pPr>
              <w:spacing w:line="287" w:lineRule="auto"/>
              <w:rPr>
                <w:rFonts w:ascii="Arial"/>
                <w:sz w:val="21"/>
              </w:rPr>
            </w:pPr>
          </w:p>
          <w:p w14:paraId="090A993D">
            <w:pPr>
              <w:pStyle w:val="10"/>
              <w:spacing w:before="46" w:line="228" w:lineRule="auto"/>
              <w:ind w:left="174"/>
            </w:pPr>
            <w:r>
              <w:t>[</w:t>
            </w:r>
            <w:r>
              <w:rPr>
                <w:rFonts w:ascii="Times New Roman" w:hAnsi="Times New Roman" w:eastAsia="Times New Roman" w:cs="Times New Roman"/>
              </w:rPr>
              <w:t>0</w:t>
            </w:r>
            <w:r>
              <w:t>.</w:t>
            </w:r>
            <w:r>
              <w:rPr>
                <w:rFonts w:ascii="Times New Roman" w:hAnsi="Times New Roman" w:eastAsia="Times New Roman" w:cs="Times New Roman"/>
              </w:rPr>
              <w:t>5</w:t>
            </w:r>
            <w:r>
              <w:t>,</w:t>
            </w:r>
            <w:r>
              <w:rPr>
                <w:rFonts w:ascii="Times New Roman" w:hAnsi="Times New Roman" w:eastAsia="Times New Roman" w:cs="Times New Roman"/>
              </w:rPr>
              <w:t>1</w:t>
            </w:r>
            <w:r>
              <w:t>)</w:t>
            </w:r>
          </w:p>
        </w:tc>
        <w:tc>
          <w:tcPr>
            <w:tcW w:w="1010" w:type="dxa"/>
            <w:vAlign w:val="top"/>
          </w:tcPr>
          <w:p w14:paraId="36D8CF47">
            <w:pPr>
              <w:spacing w:line="286" w:lineRule="auto"/>
              <w:rPr>
                <w:rFonts w:ascii="Arial"/>
                <w:sz w:val="21"/>
              </w:rPr>
            </w:pPr>
          </w:p>
          <w:p w14:paraId="2AA5F0D7">
            <w:pPr>
              <w:spacing w:line="287" w:lineRule="auto"/>
              <w:rPr>
                <w:rFonts w:ascii="Arial"/>
                <w:sz w:val="21"/>
              </w:rPr>
            </w:pPr>
          </w:p>
          <w:p w14:paraId="1F0F2973">
            <w:pPr>
              <w:pStyle w:val="10"/>
              <w:spacing w:before="46" w:line="228" w:lineRule="auto"/>
              <w:ind w:left="132"/>
            </w:pPr>
            <w:r>
              <w:rPr>
                <w:spacing w:val="1"/>
              </w:rPr>
              <w:t>[</w:t>
            </w:r>
            <w:r>
              <w:rPr>
                <w:rFonts w:ascii="Times New Roman" w:hAnsi="Times New Roman" w:eastAsia="Times New Roman" w:cs="Times New Roman"/>
                <w:spacing w:val="1"/>
              </w:rPr>
              <w:t>0</w:t>
            </w:r>
            <w:r>
              <w:rPr>
                <w:spacing w:val="1"/>
              </w:rPr>
              <w:t>.</w:t>
            </w:r>
            <w:r>
              <w:rPr>
                <w:rFonts w:ascii="Times New Roman" w:hAnsi="Times New Roman" w:eastAsia="Times New Roman" w:cs="Times New Roman"/>
                <w:spacing w:val="1"/>
              </w:rPr>
              <w:t>05</w:t>
            </w:r>
            <w:r>
              <w:rPr>
                <w:spacing w:val="1"/>
              </w:rPr>
              <w:t>,</w:t>
            </w:r>
            <w:r>
              <w:rPr>
                <w:rFonts w:ascii="Times New Roman" w:hAnsi="Times New Roman" w:eastAsia="Times New Roman" w:cs="Times New Roman"/>
                <w:spacing w:val="1"/>
              </w:rPr>
              <w:t>0</w:t>
            </w:r>
            <w:r>
              <w:rPr>
                <w:spacing w:val="1"/>
              </w:rPr>
              <w:t>.</w:t>
            </w:r>
            <w:r>
              <w:rPr>
                <w:rFonts w:ascii="Times New Roman" w:hAnsi="Times New Roman" w:eastAsia="Times New Roman" w:cs="Times New Roman"/>
                <w:spacing w:val="1"/>
              </w:rPr>
              <w:t>2</w:t>
            </w:r>
            <w:r>
              <w:rPr>
                <w:spacing w:val="1"/>
              </w:rPr>
              <w:t>）</w:t>
            </w:r>
          </w:p>
        </w:tc>
        <w:tc>
          <w:tcPr>
            <w:tcW w:w="1263" w:type="dxa"/>
            <w:vAlign w:val="top"/>
          </w:tcPr>
          <w:p w14:paraId="03FE1A22">
            <w:pPr>
              <w:spacing w:line="416" w:lineRule="auto"/>
              <w:rPr>
                <w:rFonts w:ascii="Arial"/>
                <w:sz w:val="21"/>
              </w:rPr>
            </w:pPr>
          </w:p>
          <w:p w14:paraId="368EFCF3">
            <w:pPr>
              <w:pStyle w:val="10"/>
              <w:spacing w:before="45" w:line="317" w:lineRule="exact"/>
              <w:ind w:left="110"/>
            </w:pPr>
            <w:r>
              <w:rPr>
                <w:spacing w:val="-3"/>
                <w:position w:val="13"/>
              </w:rPr>
              <w:t>跨设区的市级</w:t>
            </w:r>
          </w:p>
          <w:p w14:paraId="23B66C27">
            <w:pPr>
              <w:pStyle w:val="10"/>
              <w:spacing w:line="231" w:lineRule="auto"/>
              <w:ind w:left="112"/>
            </w:pPr>
            <w:r>
              <w:rPr>
                <w:spacing w:val="7"/>
              </w:rPr>
              <w:t>行政区域</w:t>
            </w:r>
          </w:p>
        </w:tc>
        <w:tc>
          <w:tcPr>
            <w:tcW w:w="867" w:type="dxa"/>
            <w:vAlign w:val="top"/>
          </w:tcPr>
          <w:p w14:paraId="1F36E41D">
            <w:pPr>
              <w:spacing w:line="286" w:lineRule="auto"/>
              <w:rPr>
                <w:rFonts w:ascii="Arial"/>
                <w:sz w:val="21"/>
              </w:rPr>
            </w:pPr>
          </w:p>
          <w:p w14:paraId="256F53EC">
            <w:pPr>
              <w:spacing w:line="287" w:lineRule="auto"/>
              <w:rPr>
                <w:rFonts w:ascii="Arial"/>
                <w:sz w:val="21"/>
              </w:rPr>
            </w:pPr>
          </w:p>
          <w:p w14:paraId="758CE4DA">
            <w:pPr>
              <w:pStyle w:val="10"/>
              <w:spacing w:before="46" w:line="231" w:lineRule="auto"/>
              <w:ind w:left="286"/>
            </w:pPr>
            <w:r>
              <w:rPr>
                <w:spacing w:val="6"/>
              </w:rPr>
              <w:t>Ⅲ类</w:t>
            </w:r>
          </w:p>
        </w:tc>
        <w:tc>
          <w:tcPr>
            <w:tcW w:w="1444" w:type="dxa"/>
            <w:vAlign w:val="top"/>
          </w:tcPr>
          <w:p w14:paraId="32C7D264">
            <w:pPr>
              <w:spacing w:line="259" w:lineRule="auto"/>
              <w:rPr>
                <w:rFonts w:ascii="Arial"/>
                <w:sz w:val="21"/>
              </w:rPr>
            </w:pPr>
          </w:p>
          <w:p w14:paraId="4DA4D1B2">
            <w:pPr>
              <w:pStyle w:val="10"/>
              <w:spacing w:before="45" w:line="419" w:lineRule="auto"/>
              <w:ind w:left="111" w:right="104" w:firstLine="11"/>
              <w:jc w:val="both"/>
            </w:pPr>
            <w:r>
              <w:rPr>
                <w:rFonts w:ascii="Times New Roman" w:hAnsi="Times New Roman" w:eastAsia="Times New Roman" w:cs="Times New Roman"/>
                <w:spacing w:val="5"/>
              </w:rPr>
              <w:t>10</w:t>
            </w:r>
            <w:r>
              <w:rPr>
                <w:spacing w:val="5"/>
              </w:rPr>
              <w:t>人以下急性重度</w:t>
            </w:r>
            <w:r>
              <w:rPr>
                <w:spacing w:val="12"/>
              </w:rPr>
              <w:t>放射病、局部器官</w:t>
            </w:r>
          </w:p>
          <w:p w14:paraId="2ABCBD7C">
            <w:pPr>
              <w:pStyle w:val="10"/>
              <w:spacing w:line="231" w:lineRule="auto"/>
              <w:ind w:left="111"/>
            </w:pPr>
            <w:r>
              <w:rPr>
                <w:spacing w:val="5"/>
              </w:rPr>
              <w:t>残疾的；</w:t>
            </w:r>
          </w:p>
        </w:tc>
        <w:tc>
          <w:tcPr>
            <w:tcW w:w="908" w:type="dxa"/>
            <w:vAlign w:val="top"/>
          </w:tcPr>
          <w:p w14:paraId="0C4C5B26">
            <w:pPr>
              <w:spacing w:line="286" w:lineRule="auto"/>
              <w:rPr>
                <w:rFonts w:ascii="Arial"/>
                <w:sz w:val="21"/>
              </w:rPr>
            </w:pPr>
          </w:p>
          <w:p w14:paraId="19890C7C">
            <w:pPr>
              <w:spacing w:line="287" w:lineRule="auto"/>
              <w:rPr>
                <w:rFonts w:ascii="Arial"/>
                <w:sz w:val="21"/>
              </w:rPr>
            </w:pPr>
          </w:p>
          <w:p w14:paraId="7ACD7F92">
            <w:pPr>
              <w:pStyle w:val="10"/>
              <w:spacing w:before="45" w:line="232" w:lineRule="auto"/>
              <w:ind w:left="116"/>
            </w:pPr>
            <w:r>
              <w:rPr>
                <w:spacing w:val="6"/>
              </w:rPr>
              <w:t>小范围</w:t>
            </w:r>
          </w:p>
        </w:tc>
        <w:tc>
          <w:tcPr>
            <w:tcW w:w="944" w:type="dxa"/>
            <w:vAlign w:val="top"/>
          </w:tcPr>
          <w:p w14:paraId="6AD7C992">
            <w:pPr>
              <w:spacing w:line="286" w:lineRule="auto"/>
              <w:rPr>
                <w:rFonts w:ascii="Arial"/>
                <w:sz w:val="21"/>
              </w:rPr>
            </w:pPr>
          </w:p>
          <w:p w14:paraId="097D393C">
            <w:pPr>
              <w:spacing w:line="287" w:lineRule="auto"/>
              <w:rPr>
                <w:rFonts w:ascii="Arial"/>
                <w:sz w:val="21"/>
              </w:rPr>
            </w:pPr>
          </w:p>
          <w:p w14:paraId="17C8FAB5">
            <w:pPr>
              <w:pStyle w:val="10"/>
              <w:spacing w:before="46" w:line="236" w:lineRule="auto"/>
              <w:ind w:left="437"/>
            </w:pPr>
            <w:r>
              <w:t>/</w:t>
            </w:r>
          </w:p>
        </w:tc>
        <w:tc>
          <w:tcPr>
            <w:tcW w:w="1468" w:type="dxa"/>
            <w:vAlign w:val="top"/>
          </w:tcPr>
          <w:p w14:paraId="57C54FED">
            <w:pPr>
              <w:spacing w:line="416" w:lineRule="auto"/>
              <w:rPr>
                <w:rFonts w:ascii="Arial"/>
                <w:sz w:val="21"/>
              </w:rPr>
            </w:pPr>
          </w:p>
          <w:p w14:paraId="696045E3">
            <w:pPr>
              <w:pStyle w:val="10"/>
              <w:spacing w:before="45" w:line="317" w:lineRule="exact"/>
              <w:ind w:left="127"/>
            </w:pPr>
            <w:r>
              <w:rPr>
                <w:spacing w:val="14"/>
                <w:position w:val="13"/>
              </w:rPr>
              <w:t>国家重点保护的动</w:t>
            </w:r>
          </w:p>
          <w:p w14:paraId="5FA54C05">
            <w:pPr>
              <w:pStyle w:val="10"/>
              <w:spacing w:line="231" w:lineRule="auto"/>
              <w:ind w:left="113"/>
            </w:pPr>
            <w:r>
              <w:rPr>
                <w:spacing w:val="8"/>
              </w:rPr>
              <w:t>植物物种受到破坏</w:t>
            </w:r>
          </w:p>
        </w:tc>
        <w:tc>
          <w:tcPr>
            <w:tcW w:w="1465" w:type="dxa"/>
            <w:vAlign w:val="top"/>
          </w:tcPr>
          <w:p w14:paraId="454CE560">
            <w:pPr>
              <w:spacing w:line="416" w:lineRule="auto"/>
              <w:rPr>
                <w:rFonts w:ascii="Arial"/>
                <w:sz w:val="21"/>
              </w:rPr>
            </w:pPr>
          </w:p>
          <w:p w14:paraId="2330691B">
            <w:pPr>
              <w:pStyle w:val="10"/>
              <w:spacing w:before="45" w:line="317" w:lineRule="exact"/>
              <w:ind w:left="120"/>
            </w:pPr>
            <w:r>
              <w:rPr>
                <w:spacing w:val="13"/>
                <w:position w:val="13"/>
              </w:rPr>
              <w:t>乡镇集中式饮用水</w:t>
            </w:r>
          </w:p>
          <w:p w14:paraId="1A3DE4AE">
            <w:pPr>
              <w:pStyle w:val="10"/>
              <w:spacing w:line="231" w:lineRule="auto"/>
              <w:ind w:left="115"/>
            </w:pPr>
            <w:r>
              <w:rPr>
                <w:spacing w:val="8"/>
              </w:rPr>
              <w:t>水源地取水中断</w:t>
            </w:r>
          </w:p>
        </w:tc>
      </w:tr>
      <w:tr w14:paraId="02F9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680" w:type="dxa"/>
            <w:vAlign w:val="top"/>
          </w:tcPr>
          <w:p w14:paraId="20368DEB">
            <w:pPr>
              <w:spacing w:line="464" w:lineRule="auto"/>
              <w:rPr>
                <w:rFonts w:ascii="Arial"/>
                <w:sz w:val="21"/>
              </w:rPr>
            </w:pPr>
          </w:p>
          <w:p w14:paraId="06D9B1BA">
            <w:pPr>
              <w:pStyle w:val="10"/>
              <w:spacing w:before="46" w:line="190" w:lineRule="auto"/>
              <w:ind w:left="277"/>
            </w:pPr>
            <w:r>
              <w:rPr>
                <w:spacing w:val="-3"/>
              </w:rPr>
              <w:t>IV</w:t>
            </w:r>
          </w:p>
        </w:tc>
        <w:tc>
          <w:tcPr>
            <w:tcW w:w="953" w:type="dxa"/>
            <w:vAlign w:val="top"/>
          </w:tcPr>
          <w:p w14:paraId="078D7C0C">
            <w:pPr>
              <w:spacing w:line="440" w:lineRule="auto"/>
              <w:rPr>
                <w:rFonts w:ascii="Arial"/>
                <w:sz w:val="21"/>
              </w:rPr>
            </w:pPr>
          </w:p>
          <w:p w14:paraId="62C0AA6F">
            <w:pPr>
              <w:pStyle w:val="10"/>
              <w:spacing w:before="45" w:line="233" w:lineRule="auto"/>
              <w:ind w:left="330"/>
            </w:pPr>
            <w:r>
              <w:rPr>
                <w:spacing w:val="4"/>
              </w:rPr>
              <w:t>一般</w:t>
            </w:r>
          </w:p>
        </w:tc>
        <w:tc>
          <w:tcPr>
            <w:tcW w:w="589" w:type="dxa"/>
            <w:shd w:val="clear" w:color="auto" w:fill="00B0F0"/>
            <w:vAlign w:val="top"/>
          </w:tcPr>
          <w:p w14:paraId="0AE15D61">
            <w:pPr>
              <w:spacing w:line="440" w:lineRule="auto"/>
              <w:rPr>
                <w:rFonts w:ascii="Arial"/>
                <w:sz w:val="21"/>
              </w:rPr>
            </w:pPr>
          </w:p>
          <w:p w14:paraId="706B6AF1">
            <w:pPr>
              <w:pStyle w:val="10"/>
              <w:spacing w:before="46"/>
              <w:ind w:left="146"/>
            </w:pPr>
            <w:r>
              <w:rPr>
                <w:spacing w:val="5"/>
              </w:rPr>
              <w:t>蓝色</w:t>
            </w:r>
          </w:p>
        </w:tc>
        <w:tc>
          <w:tcPr>
            <w:tcW w:w="1126" w:type="dxa"/>
            <w:vAlign w:val="top"/>
          </w:tcPr>
          <w:p w14:paraId="18461758">
            <w:pPr>
              <w:spacing w:line="283" w:lineRule="auto"/>
              <w:rPr>
                <w:rFonts w:ascii="Arial"/>
                <w:sz w:val="21"/>
              </w:rPr>
            </w:pPr>
          </w:p>
          <w:p w14:paraId="41D030E3">
            <w:pPr>
              <w:pStyle w:val="10"/>
              <w:spacing w:before="45" w:line="319" w:lineRule="exact"/>
              <w:ind w:left="424"/>
            </w:pPr>
            <w:r>
              <w:rPr>
                <w:spacing w:val="1"/>
                <w:position w:val="13"/>
              </w:rPr>
              <w:t>＜</w:t>
            </w:r>
            <w:r>
              <w:rPr>
                <w:rFonts w:ascii="Times New Roman" w:hAnsi="Times New Roman" w:eastAsia="Times New Roman" w:cs="Times New Roman"/>
                <w:spacing w:val="1"/>
                <w:position w:val="13"/>
              </w:rPr>
              <w:t>3</w:t>
            </w:r>
            <w:r>
              <w:rPr>
                <w:spacing w:val="1"/>
                <w:position w:val="13"/>
              </w:rPr>
              <w:t>/</w:t>
            </w:r>
          </w:p>
          <w:p w14:paraId="5C803A1F">
            <w:pPr>
              <w:pStyle w:val="10"/>
              <w:spacing w:line="187" w:lineRule="exact"/>
              <w:ind w:left="424"/>
              <w:rPr>
                <w:rFonts w:ascii="Times New Roman" w:hAnsi="Times New Roman" w:eastAsia="Times New Roman" w:cs="Times New Roman"/>
              </w:rPr>
            </w:pPr>
            <w:r>
              <w:rPr>
                <w:spacing w:val="1"/>
                <w:position w:val="1"/>
              </w:rPr>
              <w:t>＜</w:t>
            </w:r>
            <w:r>
              <w:rPr>
                <w:rFonts w:ascii="Times New Roman" w:hAnsi="Times New Roman" w:eastAsia="Times New Roman" w:cs="Times New Roman"/>
                <w:spacing w:val="1"/>
                <w:position w:val="1"/>
              </w:rPr>
              <w:t>10</w:t>
            </w:r>
          </w:p>
        </w:tc>
        <w:tc>
          <w:tcPr>
            <w:tcW w:w="824" w:type="dxa"/>
            <w:vAlign w:val="top"/>
          </w:tcPr>
          <w:p w14:paraId="4F7032EE">
            <w:pPr>
              <w:spacing w:line="440" w:lineRule="auto"/>
              <w:rPr>
                <w:rFonts w:ascii="Arial"/>
                <w:sz w:val="21"/>
              </w:rPr>
            </w:pPr>
          </w:p>
          <w:p w14:paraId="4D64547B">
            <w:pPr>
              <w:pStyle w:val="10"/>
              <w:spacing w:before="46" w:line="188" w:lineRule="exact"/>
              <w:ind w:left="236"/>
              <w:rPr>
                <w:rFonts w:ascii="Times New Roman" w:hAnsi="Times New Roman" w:eastAsia="Times New Roman" w:cs="Times New Roman"/>
              </w:rPr>
            </w:pPr>
            <w:r>
              <w:rPr>
                <w:spacing w:val="1"/>
                <w:position w:val="1"/>
              </w:rPr>
              <w:t>＜</w:t>
            </w:r>
            <w:r>
              <w:rPr>
                <w:rFonts w:ascii="Times New Roman" w:hAnsi="Times New Roman" w:eastAsia="Times New Roman" w:cs="Times New Roman"/>
                <w:spacing w:val="1"/>
                <w:position w:val="1"/>
              </w:rPr>
              <w:t>0</w:t>
            </w:r>
            <w:r>
              <w:rPr>
                <w:spacing w:val="1"/>
                <w:position w:val="1"/>
              </w:rPr>
              <w:t>.</w:t>
            </w:r>
            <w:r>
              <w:rPr>
                <w:rFonts w:ascii="Times New Roman" w:hAnsi="Times New Roman" w:eastAsia="Times New Roman" w:cs="Times New Roman"/>
                <w:spacing w:val="1"/>
                <w:position w:val="1"/>
              </w:rPr>
              <w:t>5</w:t>
            </w:r>
          </w:p>
        </w:tc>
        <w:tc>
          <w:tcPr>
            <w:tcW w:w="1010" w:type="dxa"/>
            <w:vAlign w:val="top"/>
          </w:tcPr>
          <w:p w14:paraId="45482885">
            <w:pPr>
              <w:spacing w:line="440" w:lineRule="auto"/>
              <w:rPr>
                <w:rFonts w:ascii="Arial"/>
                <w:sz w:val="21"/>
              </w:rPr>
            </w:pPr>
          </w:p>
          <w:p w14:paraId="28A50DF2">
            <w:pPr>
              <w:pStyle w:val="10"/>
              <w:spacing w:before="46" w:line="188" w:lineRule="exact"/>
              <w:ind w:left="293"/>
              <w:rPr>
                <w:rFonts w:ascii="Times New Roman" w:hAnsi="Times New Roman" w:eastAsia="Times New Roman" w:cs="Times New Roman"/>
              </w:rPr>
            </w:pPr>
            <w:r>
              <w:rPr>
                <w:spacing w:val="2"/>
                <w:position w:val="1"/>
              </w:rPr>
              <w:t>＜</w:t>
            </w:r>
            <w:r>
              <w:rPr>
                <w:rFonts w:ascii="Times New Roman" w:hAnsi="Times New Roman" w:eastAsia="Times New Roman" w:cs="Times New Roman"/>
                <w:spacing w:val="2"/>
                <w:position w:val="1"/>
              </w:rPr>
              <w:t>0</w:t>
            </w:r>
            <w:r>
              <w:rPr>
                <w:spacing w:val="2"/>
                <w:position w:val="1"/>
              </w:rPr>
              <w:t>.</w:t>
            </w:r>
            <w:r>
              <w:rPr>
                <w:rFonts w:ascii="Times New Roman" w:hAnsi="Times New Roman" w:eastAsia="Times New Roman" w:cs="Times New Roman"/>
                <w:spacing w:val="2"/>
                <w:position w:val="1"/>
              </w:rPr>
              <w:t>05</w:t>
            </w:r>
          </w:p>
        </w:tc>
        <w:tc>
          <w:tcPr>
            <w:tcW w:w="1263" w:type="dxa"/>
            <w:vAlign w:val="top"/>
          </w:tcPr>
          <w:p w14:paraId="30519422">
            <w:pPr>
              <w:spacing w:line="440" w:lineRule="auto"/>
              <w:rPr>
                <w:rFonts w:ascii="Arial"/>
                <w:sz w:val="21"/>
              </w:rPr>
            </w:pPr>
          </w:p>
          <w:p w14:paraId="3922AFC1">
            <w:pPr>
              <w:pStyle w:val="10"/>
              <w:spacing w:before="46" w:line="236" w:lineRule="auto"/>
              <w:ind w:left="596"/>
            </w:pPr>
            <w:r>
              <w:t>/</w:t>
            </w:r>
          </w:p>
        </w:tc>
        <w:tc>
          <w:tcPr>
            <w:tcW w:w="867" w:type="dxa"/>
            <w:vAlign w:val="top"/>
          </w:tcPr>
          <w:p w14:paraId="3A375172">
            <w:pPr>
              <w:spacing w:line="440" w:lineRule="auto"/>
              <w:rPr>
                <w:rFonts w:ascii="Arial"/>
                <w:sz w:val="21"/>
              </w:rPr>
            </w:pPr>
          </w:p>
          <w:p w14:paraId="21CF7C9B">
            <w:pPr>
              <w:pStyle w:val="10"/>
              <w:spacing w:before="46" w:line="231" w:lineRule="auto"/>
              <w:ind w:left="141"/>
            </w:pPr>
            <w:r>
              <w:rPr>
                <w:spacing w:val="-5"/>
              </w:rPr>
              <w:t>Ⅳ、Ⅴ类</w:t>
            </w:r>
          </w:p>
        </w:tc>
        <w:tc>
          <w:tcPr>
            <w:tcW w:w="1444" w:type="dxa"/>
            <w:vAlign w:val="top"/>
          </w:tcPr>
          <w:p w14:paraId="17DB6F6B">
            <w:pPr>
              <w:spacing w:line="283" w:lineRule="auto"/>
              <w:rPr>
                <w:rFonts w:ascii="Arial"/>
                <w:sz w:val="21"/>
              </w:rPr>
            </w:pPr>
          </w:p>
          <w:p w14:paraId="2405EB53">
            <w:pPr>
              <w:pStyle w:val="10"/>
              <w:spacing w:before="45" w:line="319" w:lineRule="exact"/>
              <w:ind w:left="112"/>
            </w:pPr>
            <w:r>
              <w:rPr>
                <w:spacing w:val="12"/>
                <w:position w:val="13"/>
              </w:rPr>
              <w:t>人员受到超过年剂</w:t>
            </w:r>
          </w:p>
          <w:p w14:paraId="34527D17">
            <w:pPr>
              <w:pStyle w:val="10"/>
              <w:spacing w:line="231" w:lineRule="auto"/>
              <w:ind w:left="111"/>
            </w:pPr>
            <w:r>
              <w:rPr>
                <w:spacing w:val="7"/>
              </w:rPr>
              <w:t>量限值的照射；</w:t>
            </w:r>
          </w:p>
        </w:tc>
        <w:tc>
          <w:tcPr>
            <w:tcW w:w="908" w:type="dxa"/>
            <w:vAlign w:val="top"/>
          </w:tcPr>
          <w:p w14:paraId="44096671">
            <w:pPr>
              <w:pStyle w:val="10"/>
              <w:spacing w:before="171" w:line="418" w:lineRule="auto"/>
              <w:ind w:left="113" w:right="105"/>
              <w:jc w:val="both"/>
            </w:pPr>
            <w:r>
              <w:rPr>
                <w:spacing w:val="-5"/>
              </w:rPr>
              <w:t>厂区内或</w:t>
            </w:r>
            <w:r>
              <w:rPr>
                <w:spacing w:val="-3"/>
              </w:rPr>
              <w:t>设施内局</w:t>
            </w:r>
          </w:p>
          <w:p w14:paraId="259F38F6">
            <w:pPr>
              <w:pStyle w:val="10"/>
              <w:spacing w:line="231" w:lineRule="auto"/>
              <w:ind w:left="113"/>
            </w:pPr>
            <w:r>
              <w:rPr>
                <w:spacing w:val="1"/>
              </w:rPr>
              <w:t>部</w:t>
            </w:r>
          </w:p>
        </w:tc>
        <w:tc>
          <w:tcPr>
            <w:tcW w:w="944" w:type="dxa"/>
            <w:vAlign w:val="top"/>
          </w:tcPr>
          <w:p w14:paraId="12133167">
            <w:pPr>
              <w:pStyle w:val="10"/>
              <w:spacing w:before="171" w:line="418" w:lineRule="auto"/>
              <w:ind w:left="112" w:right="106" w:hanging="1"/>
              <w:jc w:val="both"/>
            </w:pPr>
            <w:r>
              <w:rPr>
                <w:spacing w:val="4"/>
              </w:rPr>
              <w:t>铀矿冶、伴</w:t>
            </w:r>
            <w:r>
              <w:rPr>
                <w:spacing w:val="3"/>
              </w:rPr>
              <w:t>生矿超标</w:t>
            </w:r>
          </w:p>
          <w:p w14:paraId="0EDE0D1B">
            <w:pPr>
              <w:pStyle w:val="10"/>
              <w:spacing w:line="232" w:lineRule="auto"/>
              <w:ind w:left="111"/>
            </w:pPr>
            <w:r>
              <w:rPr>
                <w:spacing w:val="5"/>
              </w:rPr>
              <w:t>排放</w:t>
            </w:r>
          </w:p>
        </w:tc>
        <w:tc>
          <w:tcPr>
            <w:tcW w:w="1468" w:type="dxa"/>
            <w:vAlign w:val="top"/>
          </w:tcPr>
          <w:p w14:paraId="4D6F15F5">
            <w:pPr>
              <w:spacing w:line="440" w:lineRule="auto"/>
              <w:rPr>
                <w:rFonts w:ascii="Arial"/>
                <w:sz w:val="21"/>
              </w:rPr>
            </w:pPr>
          </w:p>
          <w:p w14:paraId="6F1CECAB">
            <w:pPr>
              <w:pStyle w:val="10"/>
              <w:spacing w:before="46" w:line="236" w:lineRule="auto"/>
              <w:ind w:left="700"/>
            </w:pPr>
            <w:r>
              <w:t>/</w:t>
            </w:r>
          </w:p>
        </w:tc>
        <w:tc>
          <w:tcPr>
            <w:tcW w:w="1465" w:type="dxa"/>
            <w:vAlign w:val="top"/>
          </w:tcPr>
          <w:p w14:paraId="5B430104">
            <w:pPr>
              <w:pStyle w:val="10"/>
              <w:spacing w:before="171" w:line="418" w:lineRule="auto"/>
              <w:ind w:left="115" w:right="108" w:hanging="2"/>
              <w:jc w:val="both"/>
            </w:pPr>
            <w:r>
              <w:rPr>
                <w:spacing w:val="10"/>
              </w:rPr>
              <w:t>造成跨区（县）级行政区域纠纷，引</w:t>
            </w:r>
          </w:p>
          <w:p w14:paraId="0CB784A3">
            <w:pPr>
              <w:pStyle w:val="10"/>
              <w:spacing w:line="231" w:lineRule="auto"/>
              <w:ind w:left="114"/>
            </w:pPr>
            <w:r>
              <w:rPr>
                <w:spacing w:val="8"/>
              </w:rPr>
              <w:t>起一般性群体影响</w:t>
            </w:r>
          </w:p>
        </w:tc>
      </w:tr>
    </w:tbl>
    <w:p w14:paraId="1541AF87">
      <w:pPr>
        <w:pStyle w:val="5"/>
        <w:spacing w:before="85" w:line="317" w:lineRule="exact"/>
        <w:ind w:left="765"/>
        <w:rPr>
          <w:rFonts w:ascii="宋体" w:hAnsi="宋体" w:eastAsia="宋体" w:cs="宋体"/>
          <w:sz w:val="14"/>
          <w:szCs w:val="14"/>
        </w:rPr>
      </w:pPr>
      <w:r>
        <w:rPr>
          <w:rFonts w:ascii="宋体" w:hAnsi="宋体" w:eastAsia="宋体" w:cs="宋体"/>
          <w:spacing w:val="9"/>
          <w:position w:val="13"/>
          <w:sz w:val="14"/>
          <w:szCs w:val="14"/>
          <w14:textOutline w14:w="2707" w14:cap="flat" w14:cmpd="sng">
            <w14:solidFill>
              <w14:srgbClr w14:val="000000"/>
            </w14:solidFill>
            <w14:prstDash w14:val="solid"/>
            <w14:miter w14:val="0"/>
          </w14:textOutline>
        </w:rPr>
        <w:t>备注：</w:t>
      </w:r>
      <w:r>
        <w:rPr>
          <w:b/>
          <w:bCs/>
          <w:spacing w:val="9"/>
          <w:position w:val="13"/>
          <w:sz w:val="14"/>
          <w:szCs w:val="14"/>
        </w:rPr>
        <w:t>1</w:t>
      </w:r>
      <w:r>
        <w:rPr>
          <w:rFonts w:ascii="宋体" w:hAnsi="宋体" w:eastAsia="宋体" w:cs="宋体"/>
          <w:spacing w:val="9"/>
          <w:position w:val="13"/>
          <w:sz w:val="14"/>
          <w:szCs w:val="14"/>
          <w14:textOutline w14:w="2707" w14:cap="flat" w14:cmpd="sng">
            <w14:solidFill>
              <w14:srgbClr w14:val="000000"/>
            </w14:solidFill>
            <w14:prstDash w14:val="solid"/>
            <w14:miter w14:val="0"/>
          </w14:textOutline>
        </w:rPr>
        <w:t>.因环境污染导致表述情况之一的，即可发布该等级的预警；</w:t>
      </w:r>
    </w:p>
    <w:p w14:paraId="76A8F5DF">
      <w:pPr>
        <w:pStyle w:val="5"/>
        <w:spacing w:line="231" w:lineRule="auto"/>
        <w:ind w:left="1210"/>
        <w:rPr>
          <w:rFonts w:ascii="宋体" w:hAnsi="宋体" w:eastAsia="宋体" w:cs="宋体"/>
          <w:sz w:val="14"/>
          <w:szCs w:val="14"/>
        </w:rPr>
      </w:pPr>
      <w:r>
        <w:rPr>
          <w:b/>
          <w:bCs/>
          <w:spacing w:val="3"/>
          <w:sz w:val="14"/>
          <w:szCs w:val="14"/>
        </w:rPr>
        <w:t>2</w:t>
      </w:r>
      <w:r>
        <w:rPr>
          <w:rFonts w:ascii="宋体" w:hAnsi="宋体" w:eastAsia="宋体" w:cs="宋体"/>
          <w:spacing w:val="3"/>
          <w:sz w:val="14"/>
          <w:szCs w:val="14"/>
          <w14:textOutline w14:w="2707" w14:cap="flat" w14:cmpd="sng">
            <w14:solidFill>
              <w14:srgbClr w14:val="000000"/>
            </w14:solidFill>
            <w14:prstDash w14:val="solid"/>
            <w14:miter w14:val="0"/>
          </w14:textOutline>
        </w:rPr>
        <w:t>.“[”表示包含，“）”表示不包含。</w:t>
      </w:r>
    </w:p>
    <w:p w14:paraId="79BCBA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sectPr>
          <w:pgSz w:w="15840" w:h="12240" w:orient="landscape"/>
          <w:pgMar w:top="1593" w:right="1587" w:bottom="1451" w:left="1587" w:header="0" w:footer="578" w:gutter="0"/>
          <w:pgNumType w:fmt="decimal"/>
          <w:cols w:space="0" w:num="1"/>
          <w:rtlGutter w:val="0"/>
          <w:docGrid w:linePitch="0" w:charSpace="0"/>
        </w:sectPr>
      </w:pPr>
    </w:p>
    <w:p w14:paraId="3B92375B">
      <w:pPr>
        <w:pStyle w:val="3"/>
        <w:bidi w:val="0"/>
      </w:pPr>
      <w:bookmarkStart w:id="58" w:name="bookmark45"/>
      <w:bookmarkEnd w:id="58"/>
      <w:bookmarkStart w:id="59" w:name="_Toc16339"/>
      <w:r>
        <w:t>（二）</w:t>
      </w:r>
      <w:r>
        <w:rPr>
          <w:rFonts w:hint="eastAsia"/>
          <w:lang w:eastAsia="zh-CN"/>
        </w:rPr>
        <w:t>区</w:t>
      </w:r>
      <w:r>
        <w:t>应急指挥部工作组及其主要职责</w:t>
      </w:r>
      <w:bookmarkEnd w:id="59"/>
    </w:p>
    <w:p w14:paraId="0E45C4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一般情形下，</w:t>
      </w:r>
      <w:r>
        <w:rPr>
          <w:rFonts w:hint="eastAsia" w:ascii="仿宋" w:hAnsi="仿宋" w:eastAsia="仿宋" w:cs="仿宋"/>
          <w:sz w:val="32"/>
          <w:szCs w:val="32"/>
          <w:lang w:eastAsia="zh-CN"/>
        </w:rPr>
        <w:t>区</w:t>
      </w:r>
      <w:r>
        <w:rPr>
          <w:rFonts w:hint="eastAsia" w:ascii="仿宋" w:hAnsi="仿宋" w:eastAsia="仿宋" w:cs="仿宋"/>
          <w:sz w:val="32"/>
          <w:szCs w:val="32"/>
        </w:rPr>
        <w:t>应急指挥部成立以下工作组，必要时根据形势作调整。各工作组组成及职责分工如下：</w:t>
      </w:r>
    </w:p>
    <w:p w14:paraId="11295511">
      <w:pPr>
        <w:pStyle w:val="4"/>
        <w:bidi w:val="0"/>
      </w:pPr>
      <w:bookmarkStart w:id="60" w:name="bookmark46"/>
      <w:bookmarkEnd w:id="60"/>
      <w:bookmarkStart w:id="61" w:name="_Toc18523"/>
      <w:r>
        <w:t>1.综合协调组</w:t>
      </w:r>
      <w:bookmarkEnd w:id="61"/>
    </w:p>
    <w:p w14:paraId="74C0D118">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10" w:firstLine="648"/>
        <w:jc w:val="both"/>
        <w:textAlignment w:val="baseline"/>
        <w:rPr>
          <w:rFonts w:hint="eastAsia" w:ascii="仿宋" w:hAnsi="仿宋" w:eastAsia="仿宋" w:cs="仿宋"/>
          <w:snapToGrid w:val="0"/>
          <w:color w:val="000000"/>
          <w:kern w:val="0"/>
          <w:sz w:val="32"/>
          <w:szCs w:val="32"/>
          <w:lang w:val="en-US" w:eastAsia="en-US" w:bidi="ar-SA"/>
        </w:rPr>
      </w:pPr>
      <w:r>
        <w:rPr>
          <w:rFonts w:ascii="仿宋" w:hAnsi="仿宋" w:eastAsia="仿宋" w:cs="仿宋"/>
          <w:spacing w:val="3"/>
          <w:sz w:val="31"/>
          <w:szCs w:val="31"/>
          <w14:textOutline w14:w="5792" w14:cap="flat" w14:cmpd="sng">
            <w14:solidFill>
              <w14:srgbClr w14:val="000000"/>
            </w14:solidFill>
            <w14:prstDash w14:val="solid"/>
            <w14:miter w14:val="0"/>
          </w14:textOutline>
        </w:rPr>
        <w:t>（1）组成：</w:t>
      </w:r>
      <w:r>
        <w:rPr>
          <w:rFonts w:hint="eastAsia" w:ascii="仿宋" w:hAnsi="仿宋" w:eastAsia="仿宋" w:cs="仿宋"/>
          <w:snapToGrid w:val="0"/>
          <w:color w:val="000000"/>
          <w:kern w:val="0"/>
          <w:sz w:val="32"/>
          <w:szCs w:val="32"/>
          <w:lang w:val="en-US" w:eastAsia="en-US" w:bidi="ar-SA"/>
        </w:rPr>
        <w:t>由</w:t>
      </w:r>
      <w:r>
        <w:rPr>
          <w:rFonts w:hint="eastAsia" w:ascii="仿宋" w:hAnsi="仿宋" w:eastAsia="仿宋" w:cs="仿宋"/>
          <w:snapToGrid w:val="0"/>
          <w:color w:val="000000"/>
          <w:kern w:val="0"/>
          <w:sz w:val="32"/>
          <w:szCs w:val="32"/>
          <w:lang w:val="en-US" w:eastAsia="zh-CN" w:bidi="ar-SA"/>
        </w:rPr>
        <w:t>区生态环境分局</w:t>
      </w:r>
      <w:r>
        <w:rPr>
          <w:rFonts w:hint="eastAsia" w:ascii="仿宋" w:hAnsi="仿宋" w:eastAsia="仿宋" w:cs="仿宋"/>
          <w:snapToGrid w:val="0"/>
          <w:color w:val="000000"/>
          <w:kern w:val="0"/>
          <w:sz w:val="32"/>
          <w:szCs w:val="32"/>
          <w:lang w:val="en-US" w:eastAsia="en-US" w:bidi="ar-SA"/>
        </w:rPr>
        <w:t>牵头，</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应急指挥部有关成员单位参加。</w:t>
      </w:r>
    </w:p>
    <w:p w14:paraId="5C08400F">
      <w:pPr>
        <w:pStyle w:val="5"/>
        <w:keepNext w:val="0"/>
        <w:keepLines w:val="0"/>
        <w:pageBreakBefore w:val="0"/>
        <w:widowControl/>
        <w:kinsoku w:val="0"/>
        <w:wordWrap/>
        <w:overflowPunct/>
        <w:topLinePunct w:val="0"/>
        <w:autoSpaceDE w:val="0"/>
        <w:autoSpaceDN w:val="0"/>
        <w:bidi w:val="0"/>
        <w:adjustRightInd w:val="0"/>
        <w:snapToGrid w:val="0"/>
        <w:spacing w:before="226" w:line="560" w:lineRule="exact"/>
        <w:jc w:val="right"/>
        <w:textAlignment w:val="baseline"/>
        <w:rPr>
          <w:rFonts w:ascii="仿宋" w:hAnsi="仿宋" w:eastAsia="仿宋" w:cs="仿宋"/>
          <w:sz w:val="31"/>
          <w:szCs w:val="31"/>
        </w:rPr>
      </w:pPr>
      <w:r>
        <w:rPr>
          <w:rFonts w:ascii="仿宋" w:hAnsi="仿宋" w:eastAsia="仿宋" w:cs="仿宋"/>
          <w:spacing w:val="3"/>
          <w:sz w:val="31"/>
          <w:szCs w:val="31"/>
          <w14:textOutline w14:w="5792" w14:cap="flat" w14:cmpd="sng">
            <w14:solidFill>
              <w14:srgbClr w14:val="000000"/>
            </w14:solidFill>
            <w14:prstDash w14:val="solid"/>
            <w14:miter w14:val="0"/>
          </w14:textOutline>
        </w:rPr>
        <w:t>（</w:t>
      </w:r>
      <w:r>
        <w:rPr>
          <w:b/>
          <w:bCs/>
          <w:spacing w:val="3"/>
          <w:sz w:val="31"/>
          <w:szCs w:val="31"/>
        </w:rPr>
        <w:t>2</w:t>
      </w:r>
      <w:r>
        <w:rPr>
          <w:rFonts w:ascii="仿宋" w:hAnsi="仿宋" w:eastAsia="仿宋" w:cs="仿宋"/>
          <w:spacing w:val="3"/>
          <w:sz w:val="31"/>
          <w:szCs w:val="31"/>
          <w14:textOutline w14:w="5792" w14:cap="flat" w14:cmpd="sng">
            <w14:solidFill>
              <w14:srgbClr w14:val="000000"/>
            </w14:solidFill>
            <w14:prstDash w14:val="solid"/>
            <w14:miter w14:val="0"/>
          </w14:textOutline>
        </w:rPr>
        <w:t>）主要职责：</w:t>
      </w:r>
      <w:r>
        <w:rPr>
          <w:rFonts w:hint="eastAsia" w:ascii="仿宋" w:hAnsi="仿宋" w:eastAsia="仿宋" w:cs="仿宋"/>
          <w:snapToGrid w:val="0"/>
          <w:color w:val="000000"/>
          <w:kern w:val="0"/>
          <w:sz w:val="32"/>
          <w:szCs w:val="32"/>
          <w:lang w:val="en-US" w:eastAsia="en-US" w:bidi="ar-SA"/>
        </w:rPr>
        <w:t>统筹协调各部门开展突发环境事件应急工作。</w:t>
      </w:r>
    </w:p>
    <w:p w14:paraId="630A21CB">
      <w:pPr>
        <w:pStyle w:val="4"/>
        <w:bidi w:val="0"/>
        <w:rPr>
          <w:rFonts w:ascii="仿宋" w:hAnsi="仿宋" w:eastAsia="仿宋" w:cs="仿宋"/>
          <w:szCs w:val="31"/>
        </w:rPr>
      </w:pPr>
      <w:bookmarkStart w:id="62" w:name="bookmark47"/>
      <w:bookmarkEnd w:id="62"/>
      <w:bookmarkStart w:id="63" w:name="_Toc4874"/>
      <w:r>
        <w:t>2.污染处置组</w:t>
      </w:r>
      <w:bookmarkEnd w:id="63"/>
    </w:p>
    <w:p w14:paraId="4F419A10">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10" w:firstLine="648"/>
        <w:jc w:val="both"/>
        <w:textAlignment w:val="baseline"/>
        <w:rPr>
          <w:rFonts w:ascii="仿宋" w:hAnsi="仿宋" w:eastAsia="仿宋" w:cs="仿宋"/>
          <w:sz w:val="31"/>
          <w:szCs w:val="31"/>
        </w:rPr>
      </w:pPr>
      <w:r>
        <w:rPr>
          <w:rFonts w:ascii="仿宋" w:hAnsi="仿宋" w:eastAsia="仿宋" w:cs="仿宋"/>
          <w:spacing w:val="3"/>
          <w:sz w:val="31"/>
          <w:szCs w:val="31"/>
          <w14:textOutline w14:w="5792" w14:cap="flat" w14:cmpd="sng">
            <w14:solidFill>
              <w14:srgbClr w14:val="000000"/>
            </w14:solidFill>
            <w14:prstDash w14:val="solid"/>
            <w14:miter w14:val="0"/>
          </w14:textOutline>
        </w:rPr>
        <w:t>（</w:t>
      </w:r>
      <w:r>
        <w:rPr>
          <w:b/>
          <w:bCs/>
          <w:spacing w:val="3"/>
          <w:sz w:val="31"/>
          <w:szCs w:val="31"/>
        </w:rPr>
        <w:t>1</w:t>
      </w:r>
      <w:r>
        <w:rPr>
          <w:rFonts w:ascii="仿宋" w:hAnsi="仿宋" w:eastAsia="仿宋" w:cs="仿宋"/>
          <w:spacing w:val="3"/>
          <w:sz w:val="31"/>
          <w:szCs w:val="31"/>
          <w14:textOutline w14:w="5792" w14:cap="flat" w14:cmpd="sng">
            <w14:solidFill>
              <w14:srgbClr w14:val="000000"/>
            </w14:solidFill>
            <w14:prstDash w14:val="solid"/>
            <w14:miter w14:val="0"/>
          </w14:textOutline>
        </w:rPr>
        <w:t>）组成：</w:t>
      </w:r>
      <w:r>
        <w:rPr>
          <w:rFonts w:hint="eastAsia" w:ascii="仿宋" w:hAnsi="仿宋" w:eastAsia="仿宋" w:cs="仿宋"/>
          <w:snapToGrid w:val="0"/>
          <w:color w:val="000000"/>
          <w:kern w:val="0"/>
          <w:sz w:val="32"/>
          <w:szCs w:val="32"/>
          <w:lang w:val="en-US" w:eastAsia="en-US" w:bidi="ar-SA"/>
        </w:rPr>
        <w:t>由</w:t>
      </w:r>
      <w:r>
        <w:rPr>
          <w:rFonts w:hint="eastAsia" w:ascii="仿宋" w:hAnsi="仿宋" w:eastAsia="仿宋" w:cs="仿宋"/>
          <w:snapToGrid w:val="0"/>
          <w:color w:val="000000"/>
          <w:kern w:val="0"/>
          <w:sz w:val="32"/>
          <w:szCs w:val="32"/>
          <w:lang w:val="en-US" w:eastAsia="zh-CN" w:bidi="ar-SA"/>
        </w:rPr>
        <w:t>区生态环境分局</w:t>
      </w:r>
      <w:r>
        <w:rPr>
          <w:rFonts w:hint="eastAsia" w:ascii="仿宋" w:hAnsi="仿宋" w:eastAsia="仿宋" w:cs="仿宋"/>
          <w:snapToGrid w:val="0"/>
          <w:color w:val="000000"/>
          <w:kern w:val="0"/>
          <w:sz w:val="32"/>
          <w:szCs w:val="32"/>
          <w:lang w:val="en-US" w:eastAsia="en-US" w:bidi="ar-SA"/>
        </w:rPr>
        <w:t>牵头，</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发展改革局、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公安局、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fldChar w:fldCharType="begin"/>
      </w:r>
      <w:r>
        <w:rPr>
          <w:rFonts w:hint="eastAsia" w:ascii="仿宋" w:hAnsi="仿宋" w:eastAsia="仿宋" w:cs="仿宋"/>
          <w:snapToGrid w:val="0"/>
          <w:color w:val="000000"/>
          <w:kern w:val="0"/>
          <w:sz w:val="32"/>
          <w:szCs w:val="32"/>
          <w:lang w:val="en-US" w:eastAsia="en-US" w:bidi="ar-SA"/>
        </w:rPr>
        <w:instrText xml:space="preserve"> HYPERLINK "https://www.shantou.gov.cn/zrzyj" </w:instrText>
      </w:r>
      <w:r>
        <w:rPr>
          <w:rFonts w:hint="eastAsia" w:ascii="仿宋" w:hAnsi="仿宋" w:eastAsia="仿宋" w:cs="仿宋"/>
          <w:snapToGrid w:val="0"/>
          <w:color w:val="000000"/>
          <w:kern w:val="0"/>
          <w:sz w:val="32"/>
          <w:szCs w:val="32"/>
          <w:lang w:val="en-US" w:eastAsia="en-US" w:bidi="ar-SA"/>
        </w:rPr>
        <w:fldChar w:fldCharType="separate"/>
      </w:r>
      <w:r>
        <w:rPr>
          <w:rFonts w:hint="eastAsia" w:ascii="仿宋" w:hAnsi="仿宋" w:eastAsia="仿宋" w:cs="仿宋"/>
          <w:snapToGrid w:val="0"/>
          <w:color w:val="000000"/>
          <w:kern w:val="0"/>
          <w:sz w:val="32"/>
          <w:szCs w:val="32"/>
          <w:lang w:val="en-US" w:eastAsia="en-US" w:bidi="ar-SA"/>
        </w:rPr>
        <w:t>自然资源</w:t>
      </w:r>
      <w:r>
        <w:rPr>
          <w:rFonts w:hint="eastAsia" w:ascii="仿宋" w:hAnsi="仿宋" w:eastAsia="仿宋" w:cs="仿宋"/>
          <w:snapToGrid w:val="0"/>
          <w:color w:val="000000"/>
          <w:kern w:val="0"/>
          <w:sz w:val="32"/>
          <w:szCs w:val="32"/>
          <w:lang w:val="en-US" w:eastAsia="zh-CN" w:bidi="ar-SA"/>
        </w:rPr>
        <w:t>分</w:t>
      </w:r>
      <w:r>
        <w:rPr>
          <w:rFonts w:hint="eastAsia" w:ascii="仿宋" w:hAnsi="仿宋" w:eastAsia="仿宋" w:cs="仿宋"/>
          <w:snapToGrid w:val="0"/>
          <w:color w:val="000000"/>
          <w:kern w:val="0"/>
          <w:sz w:val="32"/>
          <w:szCs w:val="32"/>
          <w:lang w:val="en-US" w:eastAsia="en-US" w:bidi="ar-SA"/>
        </w:rPr>
        <w:t>局（海洋局）</w:t>
      </w:r>
      <w:r>
        <w:rPr>
          <w:rFonts w:hint="eastAsia" w:ascii="仿宋" w:hAnsi="仿宋" w:eastAsia="仿宋" w:cs="仿宋"/>
          <w:snapToGrid w:val="0"/>
          <w:color w:val="000000"/>
          <w:kern w:val="0"/>
          <w:sz w:val="32"/>
          <w:szCs w:val="32"/>
          <w:lang w:val="en-US" w:eastAsia="en-US" w:bidi="ar-SA"/>
        </w:rPr>
        <w:fldChar w:fldCharType="end"/>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交通运输局、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水务局、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农业农村局、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应急管理局、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市场监管局、</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城管局、</w:t>
      </w:r>
      <w:r>
        <w:rPr>
          <w:rFonts w:hint="eastAsia" w:ascii="仿宋" w:hAnsi="仿宋" w:eastAsia="仿宋" w:cs="仿宋"/>
          <w:snapToGrid w:val="0"/>
          <w:color w:val="000000"/>
          <w:kern w:val="0"/>
          <w:sz w:val="32"/>
          <w:szCs w:val="32"/>
          <w:lang w:val="en-US" w:eastAsia="zh-CN" w:bidi="ar-SA"/>
        </w:rPr>
        <w:t>潮阳</w:t>
      </w:r>
      <w:r>
        <w:rPr>
          <w:rFonts w:hint="eastAsia" w:ascii="仿宋" w:hAnsi="仿宋" w:eastAsia="仿宋" w:cs="仿宋"/>
          <w:snapToGrid w:val="0"/>
          <w:color w:val="000000"/>
          <w:kern w:val="0"/>
          <w:sz w:val="32"/>
          <w:szCs w:val="32"/>
          <w:lang w:val="en-US" w:eastAsia="en-US" w:bidi="ar-SA"/>
        </w:rPr>
        <w:t>海事</w:t>
      </w:r>
      <w:r>
        <w:rPr>
          <w:rFonts w:hint="eastAsia" w:ascii="仿宋" w:hAnsi="仿宋" w:eastAsia="仿宋" w:cs="仿宋"/>
          <w:snapToGrid w:val="0"/>
          <w:color w:val="000000"/>
          <w:kern w:val="0"/>
          <w:sz w:val="32"/>
          <w:szCs w:val="32"/>
          <w:lang w:val="en-US" w:eastAsia="zh-CN" w:bidi="ar-SA"/>
        </w:rPr>
        <w:t>处</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消防救援</w:t>
      </w:r>
      <w:r>
        <w:rPr>
          <w:rFonts w:hint="eastAsia" w:ascii="仿宋" w:hAnsi="仿宋" w:eastAsia="仿宋" w:cs="仿宋"/>
          <w:snapToGrid w:val="0"/>
          <w:color w:val="000000"/>
          <w:kern w:val="0"/>
          <w:sz w:val="32"/>
          <w:szCs w:val="32"/>
          <w:lang w:val="en-US" w:eastAsia="zh-CN" w:bidi="ar-SA"/>
        </w:rPr>
        <w:t>大</w:t>
      </w:r>
      <w:r>
        <w:rPr>
          <w:rFonts w:hint="eastAsia" w:ascii="仿宋" w:hAnsi="仿宋" w:eastAsia="仿宋" w:cs="仿宋"/>
          <w:snapToGrid w:val="0"/>
          <w:color w:val="000000"/>
          <w:kern w:val="0"/>
          <w:sz w:val="32"/>
          <w:szCs w:val="32"/>
          <w:lang w:val="en-US" w:eastAsia="en-US" w:bidi="ar-SA"/>
        </w:rPr>
        <w:t>队等有关部门及事发地</w:t>
      </w:r>
      <w:r>
        <w:rPr>
          <w:rFonts w:hint="eastAsia" w:ascii="仿宋" w:hAnsi="仿宋" w:eastAsia="仿宋" w:cs="仿宋"/>
          <w:snapToGrid w:val="0"/>
          <w:color w:val="000000"/>
          <w:kern w:val="0"/>
          <w:sz w:val="32"/>
          <w:szCs w:val="32"/>
          <w:lang w:val="en-US" w:eastAsia="zh-CN" w:bidi="ar-SA"/>
        </w:rPr>
        <w:t>镇（街道）</w:t>
      </w:r>
      <w:r>
        <w:rPr>
          <w:rFonts w:hint="eastAsia" w:ascii="仿宋" w:hAnsi="仿宋" w:eastAsia="仿宋" w:cs="仿宋"/>
          <w:snapToGrid w:val="0"/>
          <w:color w:val="000000"/>
          <w:kern w:val="0"/>
          <w:sz w:val="32"/>
          <w:szCs w:val="32"/>
          <w:lang w:val="en-US" w:eastAsia="en-US" w:bidi="ar-SA"/>
        </w:rPr>
        <w:t>人民政府参加。</w:t>
      </w:r>
    </w:p>
    <w:p w14:paraId="6641EF1E">
      <w:pPr>
        <w:pStyle w:val="5"/>
        <w:keepNext w:val="0"/>
        <w:keepLines w:val="0"/>
        <w:pageBreakBefore w:val="0"/>
        <w:widowControl/>
        <w:kinsoku w:val="0"/>
        <w:wordWrap/>
        <w:overflowPunct/>
        <w:topLinePunct w:val="0"/>
        <w:autoSpaceDE w:val="0"/>
        <w:autoSpaceDN w:val="0"/>
        <w:bidi w:val="0"/>
        <w:adjustRightInd w:val="0"/>
        <w:snapToGrid w:val="0"/>
        <w:spacing w:before="228" w:line="560" w:lineRule="exact"/>
        <w:ind w:left="3" w:right="11" w:firstLine="662"/>
        <w:jc w:val="both"/>
        <w:textAlignment w:val="baseline"/>
        <w:rPr>
          <w:rFonts w:ascii="仿宋" w:hAnsi="仿宋" w:eastAsia="仿宋" w:cs="仿宋"/>
          <w:sz w:val="31"/>
          <w:szCs w:val="31"/>
        </w:rPr>
      </w:pPr>
      <w:r>
        <w:rPr>
          <w:rFonts w:ascii="仿宋" w:hAnsi="仿宋" w:eastAsia="仿宋" w:cs="仿宋"/>
          <w:spacing w:val="2"/>
          <w:sz w:val="31"/>
          <w:szCs w:val="31"/>
          <w14:textOutline w14:w="5792" w14:cap="flat" w14:cmpd="sng">
            <w14:solidFill>
              <w14:srgbClr w14:val="000000"/>
            </w14:solidFill>
            <w14:prstDash w14:val="solid"/>
            <w14:miter w14:val="0"/>
          </w14:textOutline>
        </w:rPr>
        <w:t>（</w:t>
      </w:r>
      <w:r>
        <w:rPr>
          <w:b/>
          <w:bCs/>
          <w:spacing w:val="2"/>
          <w:sz w:val="31"/>
          <w:szCs w:val="31"/>
        </w:rPr>
        <w:t>2</w:t>
      </w:r>
      <w:r>
        <w:rPr>
          <w:rFonts w:ascii="仿宋" w:hAnsi="仿宋" w:eastAsia="仿宋" w:cs="仿宋"/>
          <w:spacing w:val="2"/>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6"/>
          <w:sz w:val="31"/>
          <w:szCs w:val="31"/>
        </w:rPr>
        <w:t>负责收集汇总相关数据，组织进行技术研判，开展事态分析；迅速组织切断污染源，分析污染途径，明确防止污染物扩散的程序；组织采取有效措施，消除或减轻已经造成的污染；明确不同情况下现场处置人员须采取的个人防护措施；组织建立现场警戒区和交通管制区域，确定重点防护区域，确定受威胁人员疏散方式和途径，疏散转移受威胁人员至安全紧急避险场所。</w:t>
      </w:r>
    </w:p>
    <w:p w14:paraId="38C84DD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b/>
          <w:bCs/>
          <w:spacing w:val="7"/>
          <w:sz w:val="31"/>
          <w:szCs w:val="31"/>
        </w:rPr>
      </w:pPr>
      <w:bookmarkStart w:id="64" w:name="bookmark48"/>
      <w:bookmarkEnd w:id="64"/>
    </w:p>
    <w:p w14:paraId="1AE57486">
      <w:pPr>
        <w:pStyle w:val="4"/>
        <w:bidi w:val="0"/>
      </w:pPr>
      <w:bookmarkStart w:id="65" w:name="_Toc7709"/>
      <w:r>
        <w:t>3.专家咨询组</w:t>
      </w:r>
      <w:bookmarkEnd w:id="65"/>
    </w:p>
    <w:p w14:paraId="3A95B66C">
      <w:pPr>
        <w:pStyle w:val="5"/>
        <w:keepNext w:val="0"/>
        <w:keepLines w:val="0"/>
        <w:pageBreakBefore w:val="0"/>
        <w:widowControl/>
        <w:kinsoku w:val="0"/>
        <w:wordWrap/>
        <w:overflowPunct/>
        <w:topLinePunct w:val="0"/>
        <w:autoSpaceDE w:val="0"/>
        <w:autoSpaceDN w:val="0"/>
        <w:bidi w:val="0"/>
        <w:adjustRightInd w:val="0"/>
        <w:snapToGrid w:val="0"/>
        <w:spacing w:before="228" w:line="560" w:lineRule="exact"/>
        <w:ind w:left="3" w:right="11" w:firstLine="662"/>
        <w:jc w:val="both"/>
        <w:textAlignment w:val="baseline"/>
        <w:rPr>
          <w:rFonts w:ascii="仿宋" w:hAnsi="仿宋" w:eastAsia="仿宋" w:cs="仿宋"/>
          <w:spacing w:val="-2"/>
          <w:sz w:val="31"/>
          <w:szCs w:val="31"/>
        </w:rPr>
      </w:pPr>
      <w:r>
        <w:rPr>
          <w:rFonts w:ascii="仿宋" w:hAnsi="仿宋" w:eastAsia="仿宋" w:cs="仿宋"/>
          <w:spacing w:val="11"/>
          <w:sz w:val="31"/>
          <w:szCs w:val="31"/>
          <w14:textOutline w14:w="5792" w14:cap="flat" w14:cmpd="sng">
            <w14:solidFill>
              <w14:srgbClr w14:val="000000"/>
            </w14:solidFill>
            <w14:prstDash w14:val="solid"/>
            <w14:miter w14:val="0"/>
          </w14:textOutline>
        </w:rPr>
        <w:t>（1）组成：</w:t>
      </w:r>
      <w:r>
        <w:rPr>
          <w:rFonts w:ascii="仿宋" w:hAnsi="仿宋" w:eastAsia="仿宋" w:cs="仿宋"/>
          <w:spacing w:val="-2"/>
          <w:sz w:val="31"/>
          <w:szCs w:val="31"/>
        </w:rPr>
        <w:t>由</w:t>
      </w:r>
      <w:r>
        <w:rPr>
          <w:rFonts w:hint="eastAsia" w:ascii="仿宋" w:hAnsi="仿宋" w:eastAsia="仿宋" w:cs="仿宋"/>
          <w:spacing w:val="-2"/>
          <w:sz w:val="31"/>
          <w:szCs w:val="31"/>
          <w:lang w:eastAsia="zh-CN"/>
        </w:rPr>
        <w:t>区生态环境分局</w:t>
      </w:r>
      <w:r>
        <w:rPr>
          <w:rFonts w:ascii="仿宋" w:hAnsi="仿宋" w:eastAsia="仿宋" w:cs="仿宋"/>
          <w:spacing w:val="-2"/>
          <w:sz w:val="31"/>
          <w:szCs w:val="31"/>
        </w:rPr>
        <w:t>牵头，以市环境应急专家库专家为基础，会同有关部门组织各领域专家参加。</w:t>
      </w:r>
    </w:p>
    <w:p w14:paraId="5255C982">
      <w:pPr>
        <w:pStyle w:val="5"/>
        <w:keepNext w:val="0"/>
        <w:keepLines w:val="0"/>
        <w:pageBreakBefore w:val="0"/>
        <w:widowControl/>
        <w:kinsoku w:val="0"/>
        <w:wordWrap/>
        <w:overflowPunct/>
        <w:topLinePunct w:val="0"/>
        <w:autoSpaceDE w:val="0"/>
        <w:autoSpaceDN w:val="0"/>
        <w:bidi w:val="0"/>
        <w:adjustRightInd w:val="0"/>
        <w:snapToGrid w:val="0"/>
        <w:spacing w:before="224" w:line="560" w:lineRule="exact"/>
        <w:ind w:left="2" w:right="97" w:firstLine="661"/>
        <w:textAlignment w:val="baseline"/>
        <w:rPr>
          <w:rFonts w:ascii="仿宋" w:hAnsi="仿宋" w:eastAsia="仿宋" w:cs="仿宋"/>
          <w:sz w:val="31"/>
          <w:szCs w:val="31"/>
        </w:rPr>
      </w:pPr>
      <w:r>
        <w:rPr>
          <w:rFonts w:ascii="仿宋" w:hAnsi="仿宋" w:eastAsia="仿宋" w:cs="仿宋"/>
          <w:spacing w:val="11"/>
          <w:sz w:val="31"/>
          <w:szCs w:val="31"/>
          <w14:textOutline w14:w="5792" w14:cap="flat" w14:cmpd="sng">
            <w14:solidFill>
              <w14:srgbClr w14:val="000000"/>
            </w14:solidFill>
            <w14:prstDash w14:val="solid"/>
            <w14:miter w14:val="0"/>
          </w14:textOutline>
        </w:rPr>
        <w:t>（</w:t>
      </w:r>
      <w:r>
        <w:rPr>
          <w:b/>
          <w:bCs/>
          <w:spacing w:val="11"/>
          <w:sz w:val="31"/>
          <w:szCs w:val="31"/>
        </w:rPr>
        <w:t>2</w:t>
      </w:r>
      <w:r>
        <w:rPr>
          <w:rFonts w:ascii="仿宋" w:hAnsi="仿宋" w:eastAsia="仿宋" w:cs="仿宋"/>
          <w:spacing w:val="11"/>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11"/>
          <w:sz w:val="31"/>
          <w:szCs w:val="31"/>
        </w:rPr>
        <w:t>负责分析环境污染事故性质和类别、研判环</w:t>
      </w:r>
      <w:r>
        <w:rPr>
          <w:rFonts w:ascii="仿宋" w:hAnsi="仿宋" w:eastAsia="仿宋" w:cs="仿宋"/>
          <w:spacing w:val="6"/>
          <w:sz w:val="31"/>
          <w:szCs w:val="31"/>
        </w:rPr>
        <w:t>境污染事故发展趋势及其对人群健康或环境的影响；确定环境污染事故级别；研究、评估污染处置、人员撤离等工作方案；对生态修复和恢复重建等提出建议。</w:t>
      </w:r>
    </w:p>
    <w:p w14:paraId="67020429">
      <w:pPr>
        <w:pStyle w:val="4"/>
        <w:bidi w:val="0"/>
        <w:rPr>
          <w:rFonts w:ascii="仿宋" w:hAnsi="仿宋" w:eastAsia="仿宋" w:cs="仿宋"/>
          <w:szCs w:val="31"/>
        </w:rPr>
      </w:pPr>
      <w:bookmarkStart w:id="66" w:name="bookmark49"/>
      <w:bookmarkEnd w:id="66"/>
      <w:bookmarkStart w:id="67" w:name="_Toc13233"/>
      <w:r>
        <w:t>4.应急监测组</w:t>
      </w:r>
      <w:bookmarkEnd w:id="67"/>
    </w:p>
    <w:p w14:paraId="3A035785">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23" w:firstLine="640"/>
        <w:jc w:val="both"/>
        <w:textAlignment w:val="baseline"/>
        <w:rPr>
          <w:rFonts w:ascii="仿宋" w:hAnsi="仿宋" w:eastAsia="仿宋" w:cs="仿宋"/>
          <w:spacing w:val="6"/>
          <w:sz w:val="31"/>
          <w:szCs w:val="31"/>
        </w:rPr>
      </w:pPr>
      <w:r>
        <w:rPr>
          <w:rFonts w:ascii="仿宋" w:hAnsi="仿宋" w:eastAsia="仿宋" w:cs="仿宋"/>
          <w:spacing w:val="3"/>
          <w:sz w:val="31"/>
          <w:szCs w:val="31"/>
          <w14:textOutline w14:w="5792" w14:cap="flat" w14:cmpd="sng">
            <w14:solidFill>
              <w14:srgbClr w14:val="000000"/>
            </w14:solidFill>
            <w14:prstDash w14:val="solid"/>
            <w14:miter w14:val="0"/>
          </w14:textOutline>
        </w:rPr>
        <w:t>（</w:t>
      </w:r>
      <w:r>
        <w:rPr>
          <w:b/>
          <w:bCs/>
          <w:spacing w:val="3"/>
          <w:sz w:val="31"/>
          <w:szCs w:val="31"/>
        </w:rPr>
        <w:t>1</w:t>
      </w:r>
      <w:r>
        <w:rPr>
          <w:rFonts w:ascii="仿宋" w:hAnsi="仿宋" w:eastAsia="仿宋" w:cs="仿宋"/>
          <w:spacing w:val="3"/>
          <w:sz w:val="31"/>
          <w:szCs w:val="31"/>
          <w14:textOutline w14:w="5792" w14:cap="flat" w14:cmpd="sng">
            <w14:solidFill>
              <w14:srgbClr w14:val="000000"/>
            </w14:solidFill>
            <w14:prstDash w14:val="solid"/>
            <w14:miter w14:val="0"/>
          </w14:textOutline>
        </w:rPr>
        <w:t>）组成：</w:t>
      </w:r>
      <w:r>
        <w:rPr>
          <w:rFonts w:ascii="仿宋" w:hAnsi="仿宋" w:eastAsia="仿宋" w:cs="仿宋"/>
          <w:spacing w:val="6"/>
          <w:sz w:val="31"/>
          <w:szCs w:val="31"/>
        </w:rPr>
        <w:t>由</w:t>
      </w:r>
      <w:r>
        <w:rPr>
          <w:rFonts w:hint="eastAsia" w:ascii="仿宋" w:hAnsi="仿宋" w:eastAsia="仿宋" w:cs="仿宋"/>
          <w:spacing w:val="6"/>
          <w:sz w:val="31"/>
          <w:szCs w:val="31"/>
          <w:lang w:eastAsia="zh-CN"/>
        </w:rPr>
        <w:t>区生态环境分局</w:t>
      </w:r>
      <w:r>
        <w:rPr>
          <w:rFonts w:ascii="仿宋" w:hAnsi="仿宋" w:eastAsia="仿宋" w:cs="仿宋"/>
          <w:spacing w:val="6"/>
          <w:sz w:val="31"/>
          <w:szCs w:val="31"/>
        </w:rPr>
        <w:t>牵头，</w:t>
      </w:r>
      <w:r>
        <w:rPr>
          <w:rFonts w:hint="eastAsia" w:ascii="仿宋" w:hAnsi="仿宋" w:eastAsia="仿宋" w:cs="仿宋"/>
          <w:spacing w:val="6"/>
          <w:sz w:val="31"/>
          <w:szCs w:val="31"/>
          <w:lang w:eastAsia="zh-CN"/>
        </w:rPr>
        <w:t>区</w:t>
      </w:r>
      <w:r>
        <w:rPr>
          <w:rFonts w:ascii="仿宋" w:hAnsi="仿宋" w:eastAsia="仿宋" w:cs="仿宋"/>
          <w:spacing w:val="6"/>
          <w:sz w:val="31"/>
          <w:szCs w:val="31"/>
        </w:rPr>
        <w:t>生态环境监测站、</w:t>
      </w:r>
      <w:r>
        <w:rPr>
          <w:rFonts w:hint="eastAsia" w:ascii="仿宋" w:hAnsi="仿宋" w:eastAsia="仿宋" w:cs="仿宋"/>
          <w:spacing w:val="6"/>
          <w:sz w:val="31"/>
          <w:szCs w:val="31"/>
          <w:lang w:eastAsia="zh-CN"/>
        </w:rPr>
        <w:t>区</w:t>
      </w:r>
      <w:r>
        <w:rPr>
          <w:rFonts w:ascii="仿宋" w:hAnsi="仿宋" w:eastAsia="仿宋" w:cs="仿宋"/>
          <w:spacing w:val="6"/>
          <w:sz w:val="31"/>
          <w:szCs w:val="31"/>
        </w:rPr>
        <w:t>自然资源</w:t>
      </w:r>
      <w:r>
        <w:rPr>
          <w:rFonts w:hint="eastAsia" w:ascii="仿宋" w:hAnsi="仿宋" w:eastAsia="仿宋" w:cs="仿宋"/>
          <w:spacing w:val="6"/>
          <w:sz w:val="31"/>
          <w:szCs w:val="31"/>
          <w:lang w:eastAsia="zh-CN"/>
        </w:rPr>
        <w:t>分</w:t>
      </w:r>
      <w:r>
        <w:rPr>
          <w:rFonts w:ascii="仿宋" w:hAnsi="仿宋" w:eastAsia="仿宋" w:cs="仿宋"/>
          <w:spacing w:val="6"/>
          <w:sz w:val="31"/>
          <w:szCs w:val="31"/>
        </w:rPr>
        <w:t>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水务局、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农业农村局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气象局，</w:t>
      </w:r>
      <w:r>
        <w:rPr>
          <w:rFonts w:hint="eastAsia" w:ascii="仿宋" w:hAnsi="仿宋" w:eastAsia="仿宋" w:cs="仿宋"/>
          <w:spacing w:val="6"/>
          <w:sz w:val="31"/>
          <w:szCs w:val="31"/>
          <w:lang w:eastAsia="zh-CN"/>
        </w:rPr>
        <w:t>潮阳</w:t>
      </w:r>
      <w:r>
        <w:rPr>
          <w:rFonts w:ascii="仿宋" w:hAnsi="仿宋" w:eastAsia="仿宋" w:cs="仿宋"/>
          <w:spacing w:val="6"/>
          <w:sz w:val="31"/>
          <w:szCs w:val="31"/>
        </w:rPr>
        <w:t>海事</w:t>
      </w:r>
      <w:r>
        <w:rPr>
          <w:rFonts w:hint="eastAsia" w:ascii="仿宋" w:hAnsi="仿宋" w:eastAsia="仿宋" w:cs="仿宋"/>
          <w:spacing w:val="6"/>
          <w:sz w:val="31"/>
          <w:szCs w:val="31"/>
          <w:lang w:eastAsia="zh-CN"/>
        </w:rPr>
        <w:t>处</w:t>
      </w:r>
      <w:r>
        <w:rPr>
          <w:rFonts w:ascii="仿宋" w:hAnsi="仿宋" w:eastAsia="仿宋" w:cs="仿宋"/>
          <w:spacing w:val="6"/>
          <w:sz w:val="31"/>
          <w:szCs w:val="31"/>
        </w:rPr>
        <w:t>参加。</w:t>
      </w:r>
    </w:p>
    <w:p w14:paraId="6C5AB4B4">
      <w:pPr>
        <w:pStyle w:val="5"/>
        <w:keepNext w:val="0"/>
        <w:keepLines w:val="0"/>
        <w:pageBreakBefore w:val="0"/>
        <w:widowControl/>
        <w:kinsoku w:val="0"/>
        <w:wordWrap/>
        <w:overflowPunct/>
        <w:topLinePunct w:val="0"/>
        <w:autoSpaceDE w:val="0"/>
        <w:autoSpaceDN w:val="0"/>
        <w:bidi w:val="0"/>
        <w:adjustRightInd w:val="0"/>
        <w:snapToGrid w:val="0"/>
        <w:spacing w:before="221" w:line="560" w:lineRule="exact"/>
        <w:ind w:left="6" w:right="2" w:firstLine="657"/>
        <w:jc w:val="both"/>
        <w:textAlignment w:val="baseline"/>
        <w:rPr>
          <w:rFonts w:ascii="仿宋" w:hAnsi="仿宋" w:eastAsia="仿宋" w:cs="仿宋"/>
          <w:spacing w:val="6"/>
          <w:sz w:val="31"/>
          <w:szCs w:val="31"/>
        </w:rPr>
      </w:pPr>
      <w:r>
        <w:rPr>
          <w:rFonts w:ascii="仿宋" w:hAnsi="仿宋" w:eastAsia="仿宋" w:cs="仿宋"/>
          <w:spacing w:val="11"/>
          <w:sz w:val="31"/>
          <w:szCs w:val="31"/>
          <w14:textOutline w14:w="5792" w14:cap="flat" w14:cmpd="sng">
            <w14:solidFill>
              <w14:srgbClr w14:val="000000"/>
            </w14:solidFill>
            <w14:prstDash w14:val="solid"/>
            <w14:miter w14:val="0"/>
          </w14:textOutline>
        </w:rPr>
        <w:t>（</w:t>
      </w:r>
      <w:r>
        <w:rPr>
          <w:b/>
          <w:bCs/>
          <w:spacing w:val="11"/>
          <w:sz w:val="31"/>
          <w:szCs w:val="31"/>
        </w:rPr>
        <w:t>2</w:t>
      </w:r>
      <w:r>
        <w:rPr>
          <w:rFonts w:ascii="仿宋" w:hAnsi="仿宋" w:eastAsia="仿宋" w:cs="仿宋"/>
          <w:spacing w:val="11"/>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6"/>
          <w:sz w:val="31"/>
          <w:szCs w:val="31"/>
        </w:rPr>
        <w:t>负责根据突发环境事件污染物种类、性质以及当地气象、自然、社会环境状况等，明确相应的应急监测方案及监测方法；确定污染物扩散范围，明确监测布点和频次，做好大气、水体、土壤等应急监测，为突发环境事件应急决策提供依据。</w:t>
      </w:r>
    </w:p>
    <w:p w14:paraId="591AE6E3">
      <w:pPr>
        <w:pStyle w:val="4"/>
        <w:bidi w:val="0"/>
        <w:rPr>
          <w:rFonts w:ascii="仿宋" w:hAnsi="仿宋" w:eastAsia="仿宋" w:cs="仿宋"/>
          <w:szCs w:val="31"/>
        </w:rPr>
      </w:pPr>
      <w:bookmarkStart w:id="68" w:name="bookmark50"/>
      <w:bookmarkEnd w:id="68"/>
      <w:bookmarkStart w:id="69" w:name="_Toc9721"/>
      <w:r>
        <w:t>5.医学救援组</w:t>
      </w:r>
      <w:bookmarkEnd w:id="69"/>
    </w:p>
    <w:p w14:paraId="064877BD">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textAlignment w:val="baseline"/>
        <w:rPr>
          <w:rFonts w:ascii="仿宋" w:hAnsi="仿宋" w:eastAsia="仿宋" w:cs="仿宋"/>
          <w:snapToGrid w:val="0"/>
          <w:color w:val="000000"/>
          <w:spacing w:val="6"/>
          <w:kern w:val="0"/>
          <w:sz w:val="31"/>
          <w:szCs w:val="31"/>
          <w:lang w:val="en-US" w:eastAsia="en-US" w:bidi="ar-SA"/>
        </w:rPr>
      </w:pPr>
      <w:r>
        <w:rPr>
          <w:rFonts w:ascii="仿宋" w:hAnsi="仿宋" w:eastAsia="仿宋" w:cs="仿宋"/>
          <w:snapToGrid w:val="0"/>
          <w:color w:val="000000"/>
          <w:spacing w:val="11"/>
          <w:kern w:val="0"/>
          <w:sz w:val="31"/>
          <w:szCs w:val="31"/>
          <w:lang w:val="en-US" w:eastAsia="en-US" w:bidi="ar-SA"/>
          <w14:textOutline w14:w="5792" w14:cap="flat" w14:cmpd="sng">
            <w14:solidFill>
              <w14:srgbClr w14:val="000000"/>
            </w14:solidFill>
            <w14:prstDash w14:val="solid"/>
            <w14:miter w14:val="0"/>
          </w14:textOutline>
        </w:rPr>
        <w:t>（1）组成：</w:t>
      </w:r>
      <w:r>
        <w:rPr>
          <w:rFonts w:ascii="仿宋" w:hAnsi="仿宋" w:eastAsia="仿宋" w:cs="仿宋"/>
          <w:snapToGrid w:val="0"/>
          <w:color w:val="000000"/>
          <w:spacing w:val="6"/>
          <w:kern w:val="0"/>
          <w:sz w:val="31"/>
          <w:szCs w:val="31"/>
          <w:lang w:val="en-US" w:eastAsia="en-US" w:bidi="ar-SA"/>
        </w:rPr>
        <w:t>由</w:t>
      </w:r>
      <w:r>
        <w:rPr>
          <w:rFonts w:hint="eastAsia" w:ascii="仿宋" w:hAnsi="仿宋" w:eastAsia="仿宋" w:cs="仿宋"/>
          <w:snapToGrid w:val="0"/>
          <w:color w:val="000000"/>
          <w:spacing w:val="6"/>
          <w:kern w:val="0"/>
          <w:sz w:val="31"/>
          <w:szCs w:val="31"/>
          <w:lang w:val="en-US" w:eastAsia="zh-CN" w:bidi="ar-SA"/>
        </w:rPr>
        <w:t>区</w:t>
      </w:r>
      <w:r>
        <w:rPr>
          <w:rFonts w:ascii="仿宋" w:hAnsi="仿宋" w:eastAsia="仿宋" w:cs="仿宋"/>
          <w:snapToGrid w:val="0"/>
          <w:color w:val="000000"/>
          <w:spacing w:val="6"/>
          <w:kern w:val="0"/>
          <w:sz w:val="31"/>
          <w:szCs w:val="31"/>
          <w:lang w:val="en-US" w:eastAsia="en-US" w:bidi="ar-SA"/>
        </w:rPr>
        <w:t>卫生健康局牵头，</w:t>
      </w:r>
      <w:r>
        <w:rPr>
          <w:rFonts w:hint="eastAsia" w:ascii="仿宋" w:hAnsi="仿宋" w:eastAsia="仿宋" w:cs="仿宋"/>
          <w:snapToGrid w:val="0"/>
          <w:color w:val="000000"/>
          <w:spacing w:val="6"/>
          <w:kern w:val="0"/>
          <w:sz w:val="31"/>
          <w:szCs w:val="31"/>
          <w:lang w:val="en-US" w:eastAsia="zh-CN" w:bidi="ar-SA"/>
        </w:rPr>
        <w:t>区生态环境分局</w:t>
      </w:r>
      <w:r>
        <w:rPr>
          <w:rFonts w:ascii="仿宋" w:hAnsi="仿宋" w:eastAsia="仿宋" w:cs="仿宋"/>
          <w:snapToGrid w:val="0"/>
          <w:color w:val="000000"/>
          <w:spacing w:val="6"/>
          <w:kern w:val="0"/>
          <w:sz w:val="31"/>
          <w:szCs w:val="31"/>
          <w:lang w:val="en-US" w:eastAsia="en-US" w:bidi="ar-SA"/>
        </w:rPr>
        <w:t>、</w:t>
      </w:r>
      <w:r>
        <w:rPr>
          <w:rFonts w:hint="eastAsia" w:ascii="仿宋" w:hAnsi="仿宋" w:eastAsia="仿宋" w:cs="仿宋"/>
          <w:snapToGrid w:val="0"/>
          <w:color w:val="000000"/>
          <w:spacing w:val="6"/>
          <w:kern w:val="0"/>
          <w:sz w:val="31"/>
          <w:szCs w:val="31"/>
          <w:lang w:val="en-US" w:eastAsia="zh-CN" w:bidi="ar-SA"/>
        </w:rPr>
        <w:t>区</w:t>
      </w:r>
      <w:r>
        <w:rPr>
          <w:rFonts w:ascii="仿宋" w:hAnsi="仿宋" w:eastAsia="仿宋" w:cs="仿宋"/>
          <w:snapToGrid w:val="0"/>
          <w:color w:val="000000"/>
          <w:spacing w:val="6"/>
          <w:kern w:val="0"/>
          <w:sz w:val="31"/>
          <w:szCs w:val="31"/>
          <w:lang w:val="en-US" w:eastAsia="en-US" w:bidi="ar-SA"/>
        </w:rPr>
        <w:t>市场监管局等参加。</w:t>
      </w:r>
    </w:p>
    <w:p w14:paraId="0F5DBDDC">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24" w:right="97" w:firstLine="638"/>
        <w:textAlignment w:val="baseline"/>
        <w:rPr>
          <w:rFonts w:ascii="Arial"/>
          <w:sz w:val="21"/>
        </w:rPr>
      </w:pPr>
      <w:r>
        <w:rPr>
          <w:rFonts w:ascii="仿宋" w:hAnsi="仿宋" w:eastAsia="仿宋" w:cs="仿宋"/>
          <w:spacing w:val="11"/>
          <w:sz w:val="31"/>
          <w:szCs w:val="31"/>
          <w14:textOutline w14:w="5792" w14:cap="flat" w14:cmpd="sng">
            <w14:solidFill>
              <w14:srgbClr w14:val="000000"/>
            </w14:solidFill>
            <w14:prstDash w14:val="solid"/>
            <w14:miter w14:val="0"/>
          </w14:textOutline>
        </w:rPr>
        <w:t>（</w:t>
      </w:r>
      <w:r>
        <w:rPr>
          <w:b/>
          <w:bCs/>
          <w:spacing w:val="11"/>
          <w:sz w:val="31"/>
          <w:szCs w:val="31"/>
        </w:rPr>
        <w:t>2</w:t>
      </w:r>
      <w:r>
        <w:rPr>
          <w:rFonts w:ascii="仿宋" w:hAnsi="仿宋" w:eastAsia="仿宋" w:cs="仿宋"/>
          <w:spacing w:val="11"/>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11"/>
          <w:sz w:val="31"/>
          <w:szCs w:val="31"/>
        </w:rPr>
        <w:t>负责组织开展伤病员医疗救治、应急心理援</w:t>
      </w:r>
      <w:r>
        <w:rPr>
          <w:rFonts w:ascii="仿宋" w:hAnsi="仿宋" w:eastAsia="仿宋" w:cs="仿宋"/>
          <w:spacing w:val="5"/>
          <w:sz w:val="31"/>
          <w:szCs w:val="31"/>
        </w:rPr>
        <w:t>助；指导和协助开展受污染人员的去污洗消工作；提出保护公众健</w:t>
      </w:r>
      <w:r>
        <w:rPr>
          <w:rFonts w:ascii="仿宋" w:hAnsi="仿宋" w:eastAsia="仿宋" w:cs="仿宋"/>
          <w:spacing w:val="8"/>
          <w:sz w:val="31"/>
          <w:szCs w:val="31"/>
        </w:rPr>
        <w:t>康的措施建议。</w:t>
      </w:r>
    </w:p>
    <w:p w14:paraId="2453A6D5">
      <w:pPr>
        <w:pStyle w:val="4"/>
        <w:bidi w:val="0"/>
      </w:pPr>
      <w:bookmarkStart w:id="70" w:name="bookmark51"/>
      <w:bookmarkEnd w:id="70"/>
      <w:bookmarkStart w:id="71" w:name="_Toc28618"/>
      <w:r>
        <w:t>6.应急保障组</w:t>
      </w:r>
      <w:bookmarkEnd w:id="71"/>
    </w:p>
    <w:p w14:paraId="33E5AF7B">
      <w:pPr>
        <w:pStyle w:val="5"/>
        <w:keepNext w:val="0"/>
        <w:keepLines w:val="0"/>
        <w:pageBreakBefore w:val="0"/>
        <w:widowControl/>
        <w:kinsoku w:val="0"/>
        <w:wordWrap/>
        <w:overflowPunct/>
        <w:topLinePunct w:val="0"/>
        <w:autoSpaceDE w:val="0"/>
        <w:autoSpaceDN w:val="0"/>
        <w:bidi w:val="0"/>
        <w:adjustRightInd w:val="0"/>
        <w:snapToGrid w:val="0"/>
        <w:spacing w:before="226" w:line="560" w:lineRule="exact"/>
        <w:ind w:right="37" w:firstLine="663"/>
        <w:jc w:val="both"/>
        <w:textAlignment w:val="baseline"/>
        <w:rPr>
          <w:rFonts w:ascii="仿宋" w:hAnsi="仿宋" w:eastAsia="仿宋" w:cs="仿宋"/>
          <w:spacing w:val="5"/>
          <w:sz w:val="31"/>
          <w:szCs w:val="31"/>
        </w:rPr>
      </w:pPr>
      <w:r>
        <w:rPr>
          <w:rFonts w:ascii="仿宋" w:hAnsi="仿宋" w:eastAsia="仿宋" w:cs="仿宋"/>
          <w:spacing w:val="8"/>
          <w:sz w:val="31"/>
          <w:szCs w:val="31"/>
          <w14:textOutline w14:w="5792" w14:cap="flat" w14:cmpd="sng">
            <w14:solidFill>
              <w14:srgbClr w14:val="000000"/>
            </w14:solidFill>
            <w14:prstDash w14:val="solid"/>
            <w14:miter w14:val="0"/>
          </w14:textOutline>
        </w:rPr>
        <w:t>（</w:t>
      </w:r>
      <w:r>
        <w:rPr>
          <w:b/>
          <w:bCs/>
          <w:spacing w:val="8"/>
          <w:sz w:val="31"/>
          <w:szCs w:val="31"/>
        </w:rPr>
        <w:t>1</w:t>
      </w:r>
      <w:r>
        <w:rPr>
          <w:rFonts w:ascii="仿宋" w:hAnsi="仿宋" w:eastAsia="仿宋" w:cs="仿宋"/>
          <w:spacing w:val="8"/>
          <w:sz w:val="31"/>
          <w:szCs w:val="31"/>
          <w14:textOutline w14:w="5792" w14:cap="flat" w14:cmpd="sng">
            <w14:solidFill>
              <w14:srgbClr w14:val="000000"/>
            </w14:solidFill>
            <w14:prstDash w14:val="solid"/>
            <w14:miter w14:val="0"/>
          </w14:textOutline>
        </w:rPr>
        <w:t>）组成：</w:t>
      </w:r>
      <w:r>
        <w:rPr>
          <w:rFonts w:ascii="仿宋" w:hAnsi="仿宋" w:eastAsia="仿宋" w:cs="仿宋"/>
          <w:spacing w:val="5"/>
          <w:sz w:val="31"/>
          <w:szCs w:val="31"/>
        </w:rPr>
        <w:t>由</w:t>
      </w:r>
      <w:r>
        <w:rPr>
          <w:rFonts w:hint="eastAsia" w:ascii="仿宋" w:hAnsi="仿宋" w:eastAsia="仿宋" w:cs="仿宋"/>
          <w:spacing w:val="5"/>
          <w:sz w:val="31"/>
          <w:szCs w:val="31"/>
          <w:lang w:eastAsia="zh-CN"/>
        </w:rPr>
        <w:t>区</w:t>
      </w:r>
      <w:r>
        <w:rPr>
          <w:rFonts w:ascii="仿宋" w:hAnsi="仿宋" w:eastAsia="仿宋" w:cs="仿宋"/>
          <w:spacing w:val="5"/>
          <w:sz w:val="31"/>
          <w:szCs w:val="31"/>
        </w:rPr>
        <w:fldChar w:fldCharType="begin"/>
      </w:r>
      <w:r>
        <w:rPr>
          <w:rFonts w:ascii="仿宋" w:hAnsi="仿宋" w:eastAsia="仿宋" w:cs="仿宋"/>
          <w:spacing w:val="5"/>
          <w:sz w:val="31"/>
          <w:szCs w:val="31"/>
        </w:rPr>
        <w:instrText xml:space="preserve"> HYPERLINK "https://www.shantou.gov.cn/scjgj" </w:instrText>
      </w:r>
      <w:r>
        <w:rPr>
          <w:rFonts w:ascii="仿宋" w:hAnsi="仿宋" w:eastAsia="仿宋" w:cs="仿宋"/>
          <w:spacing w:val="5"/>
          <w:sz w:val="31"/>
          <w:szCs w:val="31"/>
        </w:rPr>
        <w:fldChar w:fldCharType="separate"/>
      </w:r>
      <w:r>
        <w:rPr>
          <w:rFonts w:ascii="仿宋" w:hAnsi="仿宋" w:eastAsia="仿宋" w:cs="仿宋"/>
          <w:spacing w:val="5"/>
          <w:sz w:val="31"/>
          <w:szCs w:val="31"/>
        </w:rPr>
        <w:t>市场监管局</w:t>
      </w:r>
      <w:r>
        <w:rPr>
          <w:rFonts w:ascii="仿宋" w:hAnsi="仿宋" w:eastAsia="仿宋" w:cs="仿宋"/>
          <w:spacing w:val="5"/>
          <w:sz w:val="31"/>
          <w:szCs w:val="31"/>
        </w:rPr>
        <w:fldChar w:fldCharType="end"/>
      </w:r>
      <w:r>
        <w:rPr>
          <w:rFonts w:ascii="仿宋" w:hAnsi="仿宋" w:eastAsia="仿宋" w:cs="仿宋"/>
          <w:spacing w:val="5"/>
          <w:sz w:val="31"/>
          <w:szCs w:val="31"/>
        </w:rPr>
        <w:t>牵头，</w:t>
      </w:r>
      <w:r>
        <w:rPr>
          <w:rFonts w:hint="eastAsia" w:ascii="仿宋" w:hAnsi="仿宋" w:eastAsia="仿宋" w:cs="仿宋"/>
          <w:spacing w:val="5"/>
          <w:sz w:val="31"/>
          <w:szCs w:val="31"/>
          <w:lang w:eastAsia="zh-CN"/>
        </w:rPr>
        <w:t>区</w:t>
      </w:r>
      <w:r>
        <w:rPr>
          <w:rFonts w:ascii="仿宋" w:hAnsi="仿宋" w:eastAsia="仿宋" w:cs="仿宋"/>
          <w:spacing w:val="5"/>
          <w:sz w:val="31"/>
          <w:szCs w:val="31"/>
        </w:rPr>
        <w:t>发展改革局、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工业和信息化局、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公安局、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民政局、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财政局、</w:t>
      </w:r>
      <w:r>
        <w:rPr>
          <w:rFonts w:hint="eastAsia" w:ascii="仿宋" w:hAnsi="仿宋" w:eastAsia="仿宋" w:cs="仿宋"/>
          <w:spacing w:val="5"/>
          <w:sz w:val="31"/>
          <w:szCs w:val="31"/>
          <w:lang w:eastAsia="zh-CN"/>
        </w:rPr>
        <w:t>区生态环境分局</w:t>
      </w:r>
      <w:r>
        <w:rPr>
          <w:rFonts w:ascii="仿宋" w:hAnsi="仿宋" w:eastAsia="仿宋" w:cs="仿宋"/>
          <w:spacing w:val="5"/>
          <w:sz w:val="31"/>
          <w:szCs w:val="31"/>
        </w:rPr>
        <w:t>、</w:t>
      </w:r>
      <w:r>
        <w:rPr>
          <w:rFonts w:hint="eastAsia" w:ascii="仿宋" w:hAnsi="仿宋" w:eastAsia="仿宋" w:cs="仿宋"/>
          <w:spacing w:val="5"/>
          <w:sz w:val="31"/>
          <w:szCs w:val="31"/>
          <w:lang w:eastAsia="zh-CN"/>
        </w:rPr>
        <w:t>区</w:t>
      </w:r>
      <w:r>
        <w:rPr>
          <w:rFonts w:ascii="仿宋" w:hAnsi="仿宋" w:eastAsia="仿宋" w:cs="仿宋"/>
          <w:spacing w:val="5"/>
          <w:sz w:val="31"/>
          <w:szCs w:val="31"/>
        </w:rPr>
        <w:t>交通运输局、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水务局、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城管局、</w:t>
      </w:r>
      <w:r>
        <w:rPr>
          <w:rFonts w:hint="eastAsia" w:ascii="仿宋" w:hAnsi="仿宋" w:eastAsia="仿宋" w:cs="仿宋"/>
          <w:spacing w:val="5"/>
          <w:sz w:val="31"/>
          <w:szCs w:val="31"/>
          <w:lang w:eastAsia="zh-CN"/>
        </w:rPr>
        <w:t>区</w:t>
      </w:r>
      <w:r>
        <w:rPr>
          <w:rFonts w:ascii="仿宋" w:hAnsi="仿宋" w:eastAsia="仿宋" w:cs="仿宋"/>
          <w:spacing w:val="5"/>
          <w:sz w:val="31"/>
          <w:szCs w:val="31"/>
        </w:rPr>
        <w:t>应急管理局等参加。</w:t>
      </w:r>
    </w:p>
    <w:p w14:paraId="65965654">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19" w:right="37" w:firstLine="643"/>
        <w:jc w:val="both"/>
        <w:textAlignment w:val="baseline"/>
        <w:rPr>
          <w:rFonts w:ascii="仿宋" w:hAnsi="仿宋" w:eastAsia="仿宋" w:cs="仿宋"/>
          <w:sz w:val="31"/>
          <w:szCs w:val="31"/>
        </w:rPr>
      </w:pPr>
      <w:r>
        <w:rPr>
          <w:rFonts w:ascii="仿宋" w:hAnsi="仿宋" w:eastAsia="仿宋" w:cs="仿宋"/>
          <w:spacing w:val="11"/>
          <w:sz w:val="31"/>
          <w:szCs w:val="31"/>
          <w14:textOutline w14:w="5792" w14:cap="flat" w14:cmpd="sng">
            <w14:solidFill>
              <w14:srgbClr w14:val="000000"/>
            </w14:solidFill>
            <w14:prstDash w14:val="solid"/>
            <w14:miter w14:val="0"/>
          </w14:textOutline>
        </w:rPr>
        <w:t>（</w:t>
      </w:r>
      <w:r>
        <w:rPr>
          <w:b/>
          <w:bCs/>
          <w:spacing w:val="11"/>
          <w:sz w:val="31"/>
          <w:szCs w:val="31"/>
        </w:rPr>
        <w:t>2</w:t>
      </w:r>
      <w:r>
        <w:rPr>
          <w:rFonts w:ascii="仿宋" w:hAnsi="仿宋" w:eastAsia="仿宋" w:cs="仿宋"/>
          <w:spacing w:val="11"/>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11"/>
          <w:sz w:val="31"/>
          <w:szCs w:val="31"/>
        </w:rPr>
        <w:t>负责指导做好事件影响区域有关人员的紧急</w:t>
      </w:r>
      <w:r>
        <w:rPr>
          <w:rFonts w:ascii="仿宋" w:hAnsi="仿宋" w:eastAsia="仿宋" w:cs="仿宋"/>
          <w:spacing w:val="5"/>
          <w:sz w:val="31"/>
          <w:szCs w:val="31"/>
        </w:rPr>
        <w:t>转移和临时安置工作；组织做好环境应急救援物资及临时安置重要</w:t>
      </w:r>
      <w:r>
        <w:rPr>
          <w:rFonts w:ascii="仿宋" w:hAnsi="仿宋" w:eastAsia="仿宋" w:cs="仿宋"/>
          <w:spacing w:val="6"/>
          <w:sz w:val="31"/>
          <w:szCs w:val="31"/>
        </w:rPr>
        <w:t>物资的紧急生产、储备调拨和紧急配送工作；及</w:t>
      </w:r>
      <w:r>
        <w:rPr>
          <w:rFonts w:ascii="仿宋" w:hAnsi="仿宋" w:eastAsia="仿宋" w:cs="仿宋"/>
          <w:spacing w:val="5"/>
          <w:sz w:val="31"/>
          <w:szCs w:val="31"/>
        </w:rPr>
        <w:t>时组织调运重要生</w:t>
      </w:r>
      <w:r>
        <w:rPr>
          <w:rFonts w:ascii="仿宋" w:hAnsi="仿宋" w:eastAsia="仿宋" w:cs="仿宋"/>
          <w:spacing w:val="7"/>
          <w:sz w:val="31"/>
          <w:szCs w:val="31"/>
        </w:rPr>
        <w:t>活必需品，保障群众基本生活和市场供应。</w:t>
      </w:r>
    </w:p>
    <w:p w14:paraId="3819A790">
      <w:pPr>
        <w:pStyle w:val="4"/>
        <w:bidi w:val="0"/>
        <w:rPr>
          <w:rFonts w:ascii="仿宋" w:hAnsi="仿宋" w:eastAsia="仿宋" w:cs="仿宋"/>
          <w:szCs w:val="31"/>
        </w:rPr>
      </w:pPr>
      <w:bookmarkStart w:id="72" w:name="bookmark52"/>
      <w:bookmarkEnd w:id="72"/>
      <w:bookmarkStart w:id="73" w:name="_Toc17231"/>
      <w:r>
        <w:t>7.舆情宣传组</w:t>
      </w:r>
      <w:bookmarkEnd w:id="73"/>
    </w:p>
    <w:p w14:paraId="3437CC75">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19" w:right="37" w:firstLine="643"/>
        <w:jc w:val="both"/>
        <w:textAlignment w:val="baseline"/>
        <w:rPr>
          <w:rFonts w:ascii="仿宋" w:hAnsi="仿宋" w:eastAsia="仿宋" w:cs="仿宋"/>
          <w:spacing w:val="5"/>
          <w:sz w:val="31"/>
          <w:szCs w:val="31"/>
          <w:lang w:val="en-US" w:eastAsia="en-US"/>
        </w:rPr>
      </w:pPr>
      <w:r>
        <w:rPr>
          <w:rFonts w:ascii="仿宋" w:hAnsi="仿宋" w:eastAsia="仿宋" w:cs="仿宋"/>
          <w:spacing w:val="11"/>
          <w:sz w:val="31"/>
          <w:szCs w:val="31"/>
          <w:lang w:val="en-US" w:eastAsia="en-US"/>
          <w14:textOutline w14:w="5792" w14:cap="flat" w14:cmpd="sng">
            <w14:solidFill>
              <w14:srgbClr w14:val="000000"/>
            </w14:solidFill>
            <w14:prstDash w14:val="solid"/>
            <w14:miter w14:val="0"/>
          </w14:textOutline>
        </w:rPr>
        <w:t>（1）组成：</w:t>
      </w:r>
      <w:r>
        <w:rPr>
          <w:rFonts w:ascii="仿宋" w:hAnsi="仿宋" w:eastAsia="仿宋" w:cs="仿宋"/>
          <w:spacing w:val="5"/>
          <w:sz w:val="31"/>
          <w:szCs w:val="31"/>
          <w:lang w:val="en-US" w:eastAsia="en-US"/>
        </w:rPr>
        <w:t>由</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lang w:val="en-US" w:eastAsia="en-US"/>
        </w:rPr>
        <w:t>委宣传部牵头，</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lang w:val="en-US" w:eastAsia="en-US"/>
        </w:rPr>
        <w:t>委网信办，</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lang w:val="en-US" w:eastAsia="en-US"/>
        </w:rPr>
        <w:t>工业和信息化局、</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lang w:val="en-US" w:eastAsia="en-US"/>
        </w:rPr>
        <w:t>生态环境局</w:t>
      </w:r>
      <w:r>
        <w:rPr>
          <w:rFonts w:hint="eastAsia" w:ascii="仿宋" w:hAnsi="仿宋" w:eastAsia="仿宋" w:cs="仿宋"/>
          <w:spacing w:val="5"/>
          <w:sz w:val="31"/>
          <w:szCs w:val="31"/>
          <w:lang w:val="en-US" w:eastAsia="zh-CN"/>
        </w:rPr>
        <w:t>分局</w:t>
      </w:r>
      <w:r>
        <w:rPr>
          <w:rFonts w:ascii="仿宋" w:hAnsi="仿宋" w:eastAsia="仿宋" w:cs="仿宋"/>
          <w:spacing w:val="5"/>
          <w:sz w:val="31"/>
          <w:szCs w:val="31"/>
          <w:lang w:val="en-US" w:eastAsia="en-US"/>
        </w:rPr>
        <w:t>、</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lang w:val="en-US" w:eastAsia="en-US"/>
        </w:rPr>
        <w:t>文化广电旅游体育局等参加。</w:t>
      </w:r>
    </w:p>
    <w:p w14:paraId="4E633F28">
      <w:pPr>
        <w:pStyle w:val="5"/>
        <w:keepNext w:val="0"/>
        <w:keepLines w:val="0"/>
        <w:pageBreakBefore w:val="0"/>
        <w:widowControl/>
        <w:kinsoku w:val="0"/>
        <w:wordWrap/>
        <w:overflowPunct/>
        <w:topLinePunct w:val="0"/>
        <w:autoSpaceDE w:val="0"/>
        <w:autoSpaceDN w:val="0"/>
        <w:bidi w:val="0"/>
        <w:adjustRightInd w:val="0"/>
        <w:snapToGrid w:val="0"/>
        <w:spacing w:before="223" w:line="560" w:lineRule="exact"/>
        <w:ind w:left="19" w:right="37" w:firstLine="643"/>
        <w:jc w:val="both"/>
        <w:textAlignment w:val="baseline"/>
        <w:rPr>
          <w:rFonts w:ascii="仿宋" w:hAnsi="仿宋" w:eastAsia="仿宋" w:cs="仿宋"/>
          <w:spacing w:val="11"/>
          <w:sz w:val="31"/>
          <w:szCs w:val="31"/>
        </w:rPr>
      </w:pPr>
      <w:r>
        <w:rPr>
          <w:rFonts w:ascii="仿宋" w:hAnsi="仿宋" w:eastAsia="仿宋" w:cs="仿宋"/>
          <w:spacing w:val="11"/>
          <w:sz w:val="31"/>
          <w:szCs w:val="31"/>
          <w14:textOutline w14:w="5792" w14:cap="flat" w14:cmpd="sng">
            <w14:solidFill>
              <w14:srgbClr w14:val="000000"/>
            </w14:solidFill>
            <w14:prstDash w14:val="solid"/>
            <w14:miter w14:val="0"/>
          </w14:textOutline>
        </w:rPr>
        <w:t>（</w:t>
      </w:r>
      <w:r>
        <w:rPr>
          <w:b/>
          <w:bCs/>
          <w:spacing w:val="11"/>
          <w:sz w:val="31"/>
          <w:szCs w:val="31"/>
        </w:rPr>
        <w:t>2</w:t>
      </w:r>
      <w:r>
        <w:rPr>
          <w:rFonts w:ascii="仿宋" w:hAnsi="仿宋" w:eastAsia="仿宋" w:cs="仿宋"/>
          <w:spacing w:val="11"/>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11"/>
          <w:sz w:val="31"/>
          <w:szCs w:val="31"/>
        </w:rPr>
        <w:t>负责组织开展事件进展、应急工作情况等权威信息发布，加强新闻宣传报道；收集分析国内外舆情和社会公众动态，加强媒体、电信和互联网管理，正确引导舆论；通过多种方式，通俗、权威、全面、前瞻地做好相关知识普及；及时澄清不实信息，回应社会关切。</w:t>
      </w:r>
    </w:p>
    <w:p w14:paraId="1BD430ED">
      <w:pPr>
        <w:pStyle w:val="4"/>
        <w:bidi w:val="0"/>
        <w:rPr>
          <w:rFonts w:ascii="仿宋" w:hAnsi="仿宋" w:eastAsia="仿宋" w:cs="仿宋"/>
          <w:szCs w:val="31"/>
        </w:rPr>
      </w:pPr>
      <w:bookmarkStart w:id="74" w:name="bookmark53"/>
      <w:bookmarkEnd w:id="74"/>
      <w:bookmarkStart w:id="75" w:name="_Toc15623"/>
      <w:r>
        <w:t>8.社会稳定组</w:t>
      </w:r>
      <w:bookmarkEnd w:id="75"/>
    </w:p>
    <w:p w14:paraId="443294EE">
      <w:pPr>
        <w:pStyle w:val="5"/>
        <w:keepNext w:val="0"/>
        <w:keepLines w:val="0"/>
        <w:pageBreakBefore w:val="0"/>
        <w:widowControl/>
        <w:kinsoku w:val="0"/>
        <w:wordWrap/>
        <w:overflowPunct/>
        <w:topLinePunct w:val="0"/>
        <w:autoSpaceDE w:val="0"/>
        <w:autoSpaceDN w:val="0"/>
        <w:bidi w:val="0"/>
        <w:adjustRightInd w:val="0"/>
        <w:snapToGrid w:val="0"/>
        <w:spacing w:before="222" w:line="560" w:lineRule="exact"/>
        <w:ind w:left="12" w:right="35" w:firstLine="651"/>
        <w:textAlignment w:val="baseline"/>
        <w:rPr>
          <w:rFonts w:ascii="仿宋" w:hAnsi="仿宋" w:eastAsia="仿宋" w:cs="仿宋"/>
          <w:spacing w:val="6"/>
          <w:sz w:val="31"/>
          <w:szCs w:val="31"/>
        </w:rPr>
      </w:pPr>
      <w:r>
        <w:rPr>
          <w:rFonts w:ascii="仿宋" w:hAnsi="仿宋" w:eastAsia="仿宋" w:cs="仿宋"/>
          <w:spacing w:val="5"/>
          <w:sz w:val="31"/>
          <w:szCs w:val="31"/>
          <w14:textOutline w14:w="5792" w14:cap="flat" w14:cmpd="sng">
            <w14:solidFill>
              <w14:srgbClr w14:val="000000"/>
            </w14:solidFill>
            <w14:prstDash w14:val="solid"/>
            <w14:miter w14:val="0"/>
          </w14:textOutline>
        </w:rPr>
        <w:t>（1）组成：</w:t>
      </w:r>
      <w:r>
        <w:rPr>
          <w:rFonts w:ascii="仿宋" w:hAnsi="仿宋" w:eastAsia="仿宋" w:cs="仿宋"/>
          <w:spacing w:val="6"/>
          <w:sz w:val="31"/>
          <w:szCs w:val="31"/>
        </w:rPr>
        <w:t>由</w:t>
      </w:r>
      <w:r>
        <w:rPr>
          <w:rFonts w:hint="eastAsia" w:ascii="仿宋" w:hAnsi="仿宋" w:eastAsia="仿宋" w:cs="仿宋"/>
          <w:spacing w:val="6"/>
          <w:sz w:val="31"/>
          <w:szCs w:val="31"/>
          <w:lang w:eastAsia="zh-CN"/>
        </w:rPr>
        <w:t>区</w:t>
      </w:r>
      <w:r>
        <w:rPr>
          <w:rFonts w:ascii="仿宋" w:hAnsi="仿宋" w:eastAsia="仿宋" w:cs="仿宋"/>
          <w:spacing w:val="6"/>
          <w:sz w:val="31"/>
          <w:szCs w:val="31"/>
        </w:rPr>
        <w:t>公安局牵头，</w:t>
      </w:r>
      <w:r>
        <w:rPr>
          <w:rFonts w:hint="eastAsia" w:ascii="仿宋" w:hAnsi="仿宋" w:eastAsia="仿宋" w:cs="仿宋"/>
          <w:spacing w:val="6"/>
          <w:sz w:val="31"/>
          <w:szCs w:val="31"/>
          <w:lang w:eastAsia="zh-CN"/>
        </w:rPr>
        <w:t>区委</w:t>
      </w:r>
      <w:r>
        <w:rPr>
          <w:rFonts w:ascii="仿宋" w:hAnsi="仿宋" w:eastAsia="仿宋" w:cs="仿宋"/>
          <w:spacing w:val="6"/>
          <w:sz w:val="31"/>
          <w:szCs w:val="31"/>
        </w:rPr>
        <w:t>网信办，</w:t>
      </w:r>
      <w:r>
        <w:rPr>
          <w:rFonts w:hint="eastAsia" w:ascii="仿宋" w:hAnsi="仿宋" w:eastAsia="仿宋" w:cs="仿宋"/>
          <w:spacing w:val="6"/>
          <w:sz w:val="31"/>
          <w:szCs w:val="31"/>
          <w:lang w:eastAsia="zh-CN"/>
        </w:rPr>
        <w:t>区</w:t>
      </w:r>
      <w:r>
        <w:rPr>
          <w:rFonts w:ascii="仿宋" w:hAnsi="仿宋" w:eastAsia="仿宋" w:cs="仿宋"/>
          <w:spacing w:val="6"/>
          <w:sz w:val="31"/>
          <w:szCs w:val="31"/>
        </w:rPr>
        <w:t>发展改革局、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司法局、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生态环境局</w:t>
      </w:r>
      <w:r>
        <w:rPr>
          <w:rFonts w:hint="eastAsia" w:ascii="仿宋" w:hAnsi="仿宋" w:eastAsia="仿宋" w:cs="仿宋"/>
          <w:spacing w:val="6"/>
          <w:sz w:val="31"/>
          <w:szCs w:val="31"/>
          <w:lang w:eastAsia="zh-CN"/>
        </w:rPr>
        <w:t>分局</w:t>
      </w:r>
      <w:r>
        <w:rPr>
          <w:rFonts w:ascii="仿宋" w:hAnsi="仿宋" w:eastAsia="仿宋" w:cs="仿宋"/>
          <w:spacing w:val="6"/>
          <w:sz w:val="31"/>
          <w:szCs w:val="31"/>
        </w:rPr>
        <w:t>、</w:t>
      </w:r>
      <w:r>
        <w:rPr>
          <w:rFonts w:hint="eastAsia" w:ascii="仿宋" w:hAnsi="仿宋" w:eastAsia="仿宋" w:cs="仿宋"/>
          <w:spacing w:val="6"/>
          <w:sz w:val="31"/>
          <w:szCs w:val="31"/>
          <w:lang w:eastAsia="zh-CN"/>
        </w:rPr>
        <w:t>区</w:t>
      </w:r>
      <w:r>
        <w:rPr>
          <w:rFonts w:ascii="仿宋" w:hAnsi="仿宋" w:eastAsia="仿宋" w:cs="仿宋"/>
          <w:spacing w:val="6"/>
          <w:sz w:val="31"/>
          <w:szCs w:val="31"/>
        </w:rPr>
        <w:t>工业和信息化局、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应急管理局、</w:t>
      </w:r>
      <w:r>
        <w:rPr>
          <w:rFonts w:hint="eastAsia" w:ascii="仿宋" w:hAnsi="仿宋" w:eastAsia="仿宋" w:cs="仿宋"/>
          <w:spacing w:val="6"/>
          <w:sz w:val="31"/>
          <w:szCs w:val="31"/>
          <w:lang w:eastAsia="zh-CN"/>
        </w:rPr>
        <w:t>区</w:t>
      </w:r>
      <w:r>
        <w:rPr>
          <w:rFonts w:ascii="仿宋" w:hAnsi="仿宋" w:eastAsia="仿宋" w:cs="仿宋"/>
          <w:spacing w:val="6"/>
          <w:sz w:val="31"/>
          <w:szCs w:val="31"/>
        </w:rPr>
        <w:t>市场监管局等参加。</w:t>
      </w:r>
    </w:p>
    <w:p w14:paraId="25EB6D84">
      <w:pPr>
        <w:pStyle w:val="5"/>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58"/>
        <w:jc w:val="both"/>
        <w:textAlignment w:val="baseline"/>
        <w:rPr>
          <w:rFonts w:ascii="仿宋" w:hAnsi="仿宋" w:eastAsia="仿宋" w:cs="仿宋"/>
          <w:sz w:val="31"/>
          <w:szCs w:val="31"/>
        </w:rPr>
      </w:pPr>
      <w:r>
        <w:rPr>
          <w:rFonts w:ascii="仿宋" w:hAnsi="仿宋" w:eastAsia="仿宋" w:cs="仿宋"/>
          <w:spacing w:val="5"/>
          <w:sz w:val="31"/>
          <w:szCs w:val="31"/>
          <w14:textOutline w14:w="5792" w14:cap="flat" w14:cmpd="sng">
            <w14:solidFill>
              <w14:srgbClr w14:val="000000"/>
            </w14:solidFill>
            <w14:prstDash w14:val="solid"/>
            <w14:miter w14:val="0"/>
          </w14:textOutline>
        </w:rPr>
        <w:t>（</w:t>
      </w:r>
      <w:r>
        <w:rPr>
          <w:b/>
          <w:bCs/>
          <w:spacing w:val="5"/>
          <w:sz w:val="31"/>
          <w:szCs w:val="31"/>
        </w:rPr>
        <w:t>2</w:t>
      </w:r>
      <w:r>
        <w:rPr>
          <w:rFonts w:ascii="仿宋" w:hAnsi="仿宋" w:eastAsia="仿宋" w:cs="仿宋"/>
          <w:spacing w:val="5"/>
          <w:sz w:val="31"/>
          <w:szCs w:val="31"/>
          <w14:textOutline w14:w="5792" w14:cap="flat" w14:cmpd="sng">
            <w14:solidFill>
              <w14:srgbClr w14:val="000000"/>
            </w14:solidFill>
            <w14:prstDash w14:val="solid"/>
            <w14:miter w14:val="0"/>
          </w14:textOutline>
        </w:rPr>
        <w:t>）主要职责：</w:t>
      </w:r>
      <w:r>
        <w:rPr>
          <w:rFonts w:ascii="仿宋" w:hAnsi="仿宋" w:eastAsia="仿宋" w:cs="仿宋"/>
          <w:spacing w:val="5"/>
          <w:sz w:val="31"/>
          <w:szCs w:val="31"/>
        </w:rPr>
        <w:t>负责加强受影响地区社会治安管理,严厉打击</w:t>
      </w:r>
      <w:r>
        <w:rPr>
          <w:rFonts w:ascii="仿宋" w:hAnsi="仿宋" w:eastAsia="仿宋" w:cs="仿宋"/>
          <w:spacing w:val="11"/>
          <w:sz w:val="31"/>
          <w:szCs w:val="31"/>
        </w:rPr>
        <w:t>借机传播谣言制造社会恐慌、哄抢物资等违法犯罪行为;指导做好事件影响区域有关人员的紧急转移和临时安置工作;加强转移人员安置点、救灾物资存放点等重点地区治安管控;做好受影响人员与</w:t>
      </w:r>
      <w:r>
        <w:rPr>
          <w:rFonts w:ascii="仿宋" w:hAnsi="仿宋" w:eastAsia="仿宋" w:cs="仿宋"/>
          <w:spacing w:val="17"/>
          <w:sz w:val="31"/>
          <w:szCs w:val="31"/>
        </w:rPr>
        <w:t>涉事单位、各级人民政府及有关部门矛盾纠纷化解和法律服务工</w:t>
      </w:r>
      <w:r>
        <w:rPr>
          <w:rFonts w:ascii="仿宋" w:hAnsi="仿宋" w:eastAsia="仿宋" w:cs="仿宋"/>
          <w:spacing w:val="11"/>
          <w:sz w:val="31"/>
          <w:szCs w:val="31"/>
        </w:rPr>
        <w:t>作,防止出现群体性事件,维护社会稳定;加强对重要生活必需品等</w:t>
      </w:r>
    </w:p>
    <w:p w14:paraId="6D7D474B">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ascii="仿宋" w:hAnsi="仿宋" w:eastAsia="仿宋" w:cs="仿宋"/>
          <w:sz w:val="31"/>
          <w:szCs w:val="31"/>
        </w:rPr>
      </w:pPr>
      <w:r>
        <w:rPr>
          <w:rFonts w:ascii="仿宋" w:hAnsi="仿宋" w:eastAsia="仿宋" w:cs="仿宋"/>
          <w:spacing w:val="6"/>
          <w:sz w:val="31"/>
          <w:szCs w:val="31"/>
        </w:rPr>
        <w:t>商品的市场监管和调控。</w:t>
      </w:r>
    </w:p>
    <w:p w14:paraId="776B162D">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184AF818">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526C8DFE">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10D4965E">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0168F73A">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29A98686">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0B5F23F7">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3CB9002B">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1FEAF925">
      <w:pPr>
        <w:keepNext w:val="0"/>
        <w:keepLines w:val="0"/>
        <w:pageBreakBefore w:val="0"/>
        <w:widowControl/>
        <w:kinsoku w:val="0"/>
        <w:wordWrap/>
        <w:overflowPunct/>
        <w:topLinePunct w:val="0"/>
        <w:autoSpaceDE w:val="0"/>
        <w:autoSpaceDN w:val="0"/>
        <w:bidi w:val="0"/>
        <w:adjustRightInd w:val="0"/>
        <w:snapToGrid w:val="0"/>
        <w:spacing w:before="4" w:line="560" w:lineRule="exact"/>
        <w:textAlignment w:val="baseline"/>
      </w:pPr>
    </w:p>
    <w:p w14:paraId="71F3CD27">
      <w:pPr>
        <w:keepNext w:val="0"/>
        <w:keepLines w:val="0"/>
        <w:pageBreakBefore w:val="0"/>
        <w:widowControl/>
        <w:kinsoku w:val="0"/>
        <w:wordWrap/>
        <w:overflowPunct/>
        <w:topLinePunct w:val="0"/>
        <w:autoSpaceDE w:val="0"/>
        <w:autoSpaceDN w:val="0"/>
        <w:bidi w:val="0"/>
        <w:adjustRightInd w:val="0"/>
        <w:snapToGrid w:val="0"/>
        <w:spacing w:before="3" w:line="560" w:lineRule="exact"/>
        <w:textAlignment w:val="baseline"/>
      </w:pPr>
    </w:p>
    <w:sectPr>
      <w:footerReference r:id="rId10" w:type="default"/>
      <w:pgSz w:w="12240" w:h="15840"/>
      <w:pgMar w:top="1587" w:right="1451" w:bottom="1587" w:left="1593" w:header="0" w:footer="57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FE5B">
    <w:pPr>
      <w:spacing w:before="1" w:line="176" w:lineRule="auto"/>
      <w:jc w:val="both"/>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7FDA">
    <w:pPr>
      <w:spacing w:before="1" w:line="176" w:lineRule="auto"/>
      <w:jc w:val="center"/>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4420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14420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BC87">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E8D56">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DE8D56">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B755">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A0009">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2CA0009">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8F96">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A2A6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4A2A6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D672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QzM2RmOTU4MmU5N2JjOTA1NGNmYmRlMmEzZTNhODMifQ=="/>
  </w:docVars>
  <w:rsids>
    <w:rsidRoot w:val="00000000"/>
    <w:rsid w:val="02F0175E"/>
    <w:rsid w:val="083926ED"/>
    <w:rsid w:val="0CF74DB0"/>
    <w:rsid w:val="12992976"/>
    <w:rsid w:val="15DA6411"/>
    <w:rsid w:val="1B8A22F8"/>
    <w:rsid w:val="217C1CB0"/>
    <w:rsid w:val="302A1EA4"/>
    <w:rsid w:val="31202AF3"/>
    <w:rsid w:val="341A7859"/>
    <w:rsid w:val="38AA263A"/>
    <w:rsid w:val="398B39B3"/>
    <w:rsid w:val="3BDA2B5B"/>
    <w:rsid w:val="41523CEF"/>
    <w:rsid w:val="489D100D"/>
    <w:rsid w:val="4AF22E11"/>
    <w:rsid w:val="5302663C"/>
    <w:rsid w:val="559A7E7A"/>
    <w:rsid w:val="5950382D"/>
    <w:rsid w:val="5BE172D7"/>
    <w:rsid w:val="5BF66059"/>
    <w:rsid w:val="5E98588F"/>
    <w:rsid w:val="5F245B8C"/>
    <w:rsid w:val="61441151"/>
    <w:rsid w:val="624520A2"/>
    <w:rsid w:val="6CED272F"/>
    <w:rsid w:val="6DA46816"/>
    <w:rsid w:val="6DB9657F"/>
    <w:rsid w:val="70BA0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Lines="0" w:beforeAutospacing="0" w:afterLines="0" w:afterAutospacing="0" w:line="560" w:lineRule="exact"/>
      <w:outlineLvl w:val="0"/>
    </w:pPr>
    <w:rPr>
      <w:rFonts w:ascii="Arial" w:hAnsi="Arial" w:eastAsia="黑体"/>
      <w:b/>
      <w:kern w:val="44"/>
      <w:sz w:val="32"/>
    </w:rPr>
  </w:style>
  <w:style w:type="paragraph" w:styleId="3">
    <w:name w:val="heading 2"/>
    <w:basedOn w:val="1"/>
    <w:next w:val="1"/>
    <w:autoRedefine/>
    <w:unhideWhenUsed/>
    <w:qFormat/>
    <w:uiPriority w:val="0"/>
    <w:pPr>
      <w:keepNext/>
      <w:keepLines/>
      <w:spacing w:beforeLines="0" w:beforeAutospacing="0" w:afterLines="0" w:afterAutospacing="0" w:line="560" w:lineRule="exact"/>
      <w:ind w:firstLine="420" w:firstLineChars="200"/>
      <w:outlineLvl w:val="1"/>
    </w:pPr>
    <w:rPr>
      <w:rFonts w:ascii="Arial" w:hAnsi="Arial" w:eastAsia="楷体"/>
      <w:b/>
      <w:sz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420" w:firstLineChars="200"/>
      <w:outlineLvl w:val="2"/>
    </w:pPr>
    <w:rPr>
      <w:rFonts w:ascii="Arial" w:hAnsi="Arial" w:eastAsia="仿宋"/>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Times New Roman" w:hAnsi="Times New Roman" w:eastAsia="Times New Roman" w:cs="Times New Roman"/>
      <w:sz w:val="19"/>
      <w:szCs w:val="19"/>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14"/>
      <w:szCs w:val="14"/>
      <w:lang w:val="en-US" w:eastAsia="en-US" w:bidi="ar-SA"/>
    </w:rPr>
  </w:style>
  <w:style w:type="paragraph" w:customStyle="1" w:styleId="11">
    <w:name w:val="样式1"/>
    <w:basedOn w:val="1"/>
    <w:next w:val="1"/>
    <w:autoRedefine/>
    <w:qFormat/>
    <w:uiPriority w:val="0"/>
    <w:pPr>
      <w:keepNext/>
      <w:keepLines/>
      <w:spacing w:before="340" w:beforeLines="0" w:after="330" w:afterLines="0" w:line="576" w:lineRule="auto"/>
      <w:outlineLvl w:val="0"/>
    </w:pPr>
    <w:rPr>
      <w:rFonts w:ascii="Arial" w:hAnsi="Arial" w:eastAsia="楷体"/>
      <w:b/>
      <w:kern w:val="44"/>
      <w:sz w:val="32"/>
    </w:rPr>
  </w:style>
  <w:style w:type="paragraph" w:customStyle="1" w:styleId="12">
    <w:name w:val="WPSOffice手动目录 1"/>
    <w:autoRedefine/>
    <w:qFormat/>
    <w:uiPriority w:val="0"/>
    <w:pPr>
      <w:ind w:leftChars="0"/>
    </w:pPr>
    <w:rPr>
      <w:rFonts w:ascii="Arial" w:hAnsi="Arial" w:eastAsia="Arial" w:cs="Arial"/>
      <w:sz w:val="20"/>
      <w:szCs w:val="20"/>
    </w:rPr>
  </w:style>
  <w:style w:type="paragraph" w:customStyle="1" w:styleId="13">
    <w:name w:val="WPSOffice手动目录 2"/>
    <w:autoRedefine/>
    <w:qFormat/>
    <w:uiPriority w:val="0"/>
    <w:pPr>
      <w:ind w:leftChars="200"/>
    </w:pPr>
    <w:rPr>
      <w:rFonts w:ascii="Arial" w:hAnsi="Arial" w:eastAsia="Arial" w:cs="Arial"/>
      <w:sz w:val="20"/>
      <w:szCs w:val="20"/>
    </w:rPr>
  </w:style>
  <w:style w:type="paragraph" w:customStyle="1" w:styleId="14">
    <w:name w:val="WPSOffice手动目录 3"/>
    <w:autoRedefine/>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15537</Words>
  <Characters>15749</Characters>
  <TotalTime>2</TotalTime>
  <ScaleCrop>false</ScaleCrop>
  <LinksUpToDate>false</LinksUpToDate>
  <CharactersWithSpaces>15911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2023-12-19T10:29:00Z</dcterms:created>
  <dc:creator>Administrator</dc:creator>
  <cp:lastModifiedBy>塑料袋</cp:lastModifiedBy>
  <cp:lastPrinted>2024-01-23T07:57:00Z</cp:lastPrinted>
  <dcterms:modified xsi:type="dcterms:W3CDTF">2025-12-15T08:57:34Z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2023-12-22T10:44:42Z</vt:filetime>
  </property>
  <property fmtid="{D5CDD505-2E9C-101B-9397-08002B2CF9AE}" pid="4" name="KSOProductBuildVer">
    <vt:lpwstr>2052-12.1.0.24034</vt:lpwstr>
  </property>
  <property fmtid="{D5CDD505-2E9C-101B-9397-08002B2CF9AE}" pid="5" name="ICV">
    <vt:lpwstr>7398B7FD574E4F22B593A91C8A48ECB3_13</vt:lpwstr>
  </property>
  <property fmtid="{D5CDD505-2E9C-101B-9397-08002B2CF9AE}" pid="6" name="KSOTemplateDocerSaveRecord">
    <vt:lpwstr>eyJoZGlkIjoiNWQzM2RmOTU4MmU5N2JjOTA1NGNmYmRlMmEzZTNhODMiLCJ1c2VySWQiOiIxMjA5NjAwMjYyIn0=</vt:lpwstr>
  </property>
</Properties>
</file>